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6812"/>
        <w:gridCol w:w="1558"/>
      </w:tblGrid>
      <w:tr w14:paraId="674A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rebuchet MS" w:hAnsi="Trebuchet MS" w:cs="Arial"/>
                <w:b/>
                <w:sz w:val="24"/>
                <w:szCs w:val="24"/>
              </w:rPr>
            </w:pPr>
            <w:r>
              <w:rPr>
                <w:rFonts w:hint="eastAsia" w:ascii="Trebuchet MS" w:hAnsi="Trebuchet MS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770890" cy="695960"/>
                  <wp:effectExtent l="0" t="0" r="6350" b="508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C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rebuchet MS" w:hAnsi="Trebuchet MS" w:cs="Tahoma"/>
                <w:b/>
                <w:sz w:val="24"/>
                <w:szCs w:val="24"/>
              </w:rPr>
            </w:pPr>
            <w:r>
              <w:rPr>
                <w:rFonts w:hint="eastAsia" w:ascii="Trebuchet MS" w:hAnsi="Trebuchet MS" w:cs="Tahoma"/>
                <w:b/>
                <w:sz w:val="24"/>
                <w:szCs w:val="24"/>
              </w:rPr>
              <w:t>ROMANIA</w:t>
            </w:r>
          </w:p>
          <w:p w14:paraId="6C8EA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rebuchet MS" w:hAnsi="Trebuchet MS" w:cs="Tahoma"/>
                <w:b/>
                <w:sz w:val="24"/>
                <w:szCs w:val="24"/>
              </w:rPr>
            </w:pPr>
            <w:r>
              <w:rPr>
                <w:rFonts w:hint="eastAsia" w:ascii="Trebuchet MS" w:hAnsi="Trebuchet MS" w:cs="Tahoma"/>
                <w:b/>
                <w:sz w:val="24"/>
                <w:szCs w:val="24"/>
              </w:rPr>
              <w:t>JUDETUL IALOMITA</w:t>
            </w:r>
          </w:p>
          <w:p w14:paraId="38D45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rebuchet MS" w:hAnsi="Trebuchet MS" w:cs="Tahoma"/>
                <w:b/>
                <w:sz w:val="24"/>
                <w:szCs w:val="24"/>
              </w:rPr>
            </w:pPr>
            <w:r>
              <w:rPr>
                <w:rFonts w:hint="eastAsia" w:ascii="Trebuchet MS" w:hAnsi="Trebuchet MS" w:cs="Tahoma"/>
                <w:b/>
                <w:sz w:val="24"/>
                <w:szCs w:val="24"/>
              </w:rPr>
              <w:t>CONSILIUL LOCAL AL</w:t>
            </w:r>
          </w:p>
          <w:p w14:paraId="45185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rebuchet MS" w:hAnsi="Trebuchet MS" w:cs="Arial"/>
                <w:b/>
                <w:sz w:val="24"/>
                <w:szCs w:val="24"/>
              </w:rPr>
            </w:pPr>
            <w:r>
              <w:rPr>
                <w:rFonts w:hint="eastAsia" w:ascii="Trebuchet MS" w:hAnsi="Trebuchet MS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4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rebuchet MS" w:hAnsi="Trebuchet MS" w:cs="Arial"/>
                <w:b/>
                <w:sz w:val="24"/>
                <w:szCs w:val="24"/>
              </w:rPr>
            </w:pPr>
          </w:p>
          <w:p w14:paraId="7175444C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100" w:lineRule="atLeast"/>
              <w:ind w:left="0" w:right="0"/>
              <w:rPr>
                <w:rFonts w:hint="eastAsia" w:ascii="Tahoma" w:hAnsi="Tahoma" w:cs="Tahoma"/>
                <w:kern w:val="1"/>
                <w:sz w:val="24"/>
                <w:szCs w:val="24"/>
                <w:lang w:eastAsia="ar-SA"/>
              </w:rPr>
            </w:pPr>
            <w:r>
              <w:rPr>
                <w:rFonts w:hint="eastAsia" w:ascii="Tahoma" w:hAnsi="Tahoma" w:cs="Tahoma"/>
                <w:b/>
                <w:kern w:val="1"/>
                <w:sz w:val="24"/>
                <w:szCs w:val="24"/>
                <w:lang w:eastAsia="ar-SA"/>
              </w:rPr>
              <w:t xml:space="preserve">Nr. </w:t>
            </w: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val="en-US" w:eastAsia="ar-SA"/>
              </w:rPr>
              <w:t>17</w:t>
            </w:r>
            <w:r>
              <w:rPr>
                <w:rFonts w:hint="eastAsia" w:ascii="Tahoma" w:hAnsi="Tahoma" w:cs="Tahoma"/>
                <w:kern w:val="1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hint="default" w:ascii="Tahoma" w:hAnsi="Tahoma" w:cs="Tahoma"/>
                <w:kern w:val="1"/>
                <w:sz w:val="24"/>
                <w:szCs w:val="24"/>
                <w:lang w:val="en-US" w:eastAsia="ar-SA"/>
              </w:rPr>
              <w:t>din</w:t>
            </w:r>
            <w:r>
              <w:rPr>
                <w:rFonts w:hint="eastAsia" w:ascii="Tahoma" w:hAnsi="Tahoma" w:cs="Tahoma"/>
                <w:kern w:val="1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256CEDB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100" w:lineRule="atLeast"/>
              <w:ind w:left="0" w:right="0"/>
              <w:jc w:val="both"/>
              <w:rPr>
                <w:rFonts w:hint="eastAsia" w:ascii="Tahoma" w:hAnsi="Tahoma" w:cs="Tahoma"/>
                <w:b/>
                <w:sz w:val="28"/>
                <w:szCs w:val="28"/>
              </w:rPr>
            </w:pPr>
            <w:r>
              <w:rPr>
                <w:rFonts w:hint="default" w:ascii="Tahoma" w:hAnsi="Tahoma" w:cs="Tahoma"/>
                <w:kern w:val="1"/>
                <w:sz w:val="24"/>
                <w:szCs w:val="24"/>
                <w:lang w:val="en-US" w:eastAsia="ar-SA"/>
              </w:rPr>
              <w:t>28.</w:t>
            </w:r>
            <w:r>
              <w:rPr>
                <w:rFonts w:hint="default" w:ascii="Tahoma" w:hAnsi="Tahoma" w:cs="Tahoma"/>
                <w:kern w:val="1"/>
                <w:sz w:val="24"/>
                <w:szCs w:val="24"/>
                <w:lang w:val="ro-RO" w:eastAsia="ar-SA"/>
              </w:rPr>
              <w:t>02</w:t>
            </w:r>
            <w:r>
              <w:rPr>
                <w:rFonts w:hint="eastAsia" w:ascii="Tahoma" w:hAnsi="Tahoma" w:cs="Tahoma"/>
                <w:kern w:val="1"/>
                <w:sz w:val="24"/>
                <w:szCs w:val="24"/>
                <w:lang w:eastAsia="ar-SA"/>
              </w:rPr>
              <w:t>.202</w:t>
            </w:r>
            <w:r>
              <w:rPr>
                <w:rFonts w:hint="default" w:ascii="Tahoma" w:hAnsi="Tahoma" w:cs="Tahoma"/>
                <w:kern w:val="1"/>
                <w:sz w:val="24"/>
                <w:szCs w:val="24"/>
                <w:lang w:val="ro-RO" w:eastAsia="ar-SA"/>
              </w:rPr>
              <w:t>5</w:t>
            </w:r>
          </w:p>
        </w:tc>
      </w:tr>
    </w:tbl>
    <w:p w14:paraId="2D372B7F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4369D0C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823F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 O T A R A R E</w:t>
      </w:r>
    </w:p>
    <w:p w14:paraId="1FDB6A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80" w:afterAutospacing="0" w:line="240" w:lineRule="auto"/>
        <w:ind w:left="0" w:right="0"/>
        <w:jc w:val="center"/>
        <w:textAlignment w:val="auto"/>
        <w:rPr>
          <w:rFonts w:hint="default" w:ascii="Tahoma" w:hAnsi="Tahoma" w:eastAsia="Tahoma" w:cs="Tahoma"/>
          <w:b/>
          <w:bCs/>
          <w:sz w:val="24"/>
          <w:szCs w:val="24"/>
          <w:lang w:val="ro"/>
        </w:rPr>
      </w:pPr>
      <w:r>
        <w:rPr>
          <w:rFonts w:hint="default" w:ascii="Tahoma" w:hAnsi="Tahoma" w:eastAsia="Tahoma" w:cs="Tahoma"/>
          <w:b/>
          <w:bCs/>
          <w:kern w:val="0"/>
          <w:sz w:val="24"/>
          <w:szCs w:val="24"/>
          <w:lang w:val="ro" w:eastAsia="zh-CN" w:bidi="ar"/>
        </w:rPr>
        <w:t>privind aprobarea taxelor pentru eliberarea certificatului de înregistrare a</w:t>
      </w:r>
    </w:p>
    <w:p w14:paraId="7A00A1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80" w:afterAutospacing="0" w:line="240" w:lineRule="auto"/>
        <w:ind w:left="0" w:right="0"/>
        <w:jc w:val="center"/>
        <w:textAlignment w:val="auto"/>
        <w:rPr>
          <w:rFonts w:hint="default" w:ascii="Tahoma" w:hAnsi="Tahoma" w:eastAsia="Tahoma" w:cs="Tahoma"/>
          <w:b/>
          <w:bCs/>
          <w:sz w:val="24"/>
          <w:szCs w:val="24"/>
          <w:lang w:val="ro"/>
        </w:rPr>
      </w:pPr>
      <w:r>
        <w:rPr>
          <w:rFonts w:hint="default" w:ascii="Tahoma" w:hAnsi="Tahoma" w:eastAsia="Tahoma" w:cs="Tahoma"/>
          <w:b/>
          <w:bCs/>
          <w:kern w:val="0"/>
          <w:sz w:val="24"/>
          <w:szCs w:val="24"/>
          <w:lang w:val="ro" w:eastAsia="zh-CN" w:bidi="ar"/>
        </w:rPr>
        <w:t>vehiculelor și a plăcuțelor de înmatriculare</w:t>
      </w:r>
    </w:p>
    <w:p w14:paraId="42EBC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8" w:firstLine="708"/>
        <w:jc w:val="both"/>
        <w:textAlignment w:val="auto"/>
        <w:rPr>
          <w:rFonts w:ascii="Tahoma" w:hAnsi="Tahoma" w:cs="Tahoma"/>
          <w:sz w:val="24"/>
          <w:szCs w:val="24"/>
        </w:rPr>
      </w:pPr>
    </w:p>
    <w:p w14:paraId="6A907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0ADE0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Avand in vedere :</w:t>
      </w:r>
      <w:r>
        <w:rPr>
          <w:rFonts w:ascii="Tahoma" w:hAnsi="Tahoma" w:cs="Tahoma"/>
          <w:sz w:val="24"/>
          <w:szCs w:val="24"/>
        </w:rPr>
        <w:tab/>
      </w:r>
    </w:p>
    <w:p w14:paraId="20492C54">
      <w:pPr>
        <w:keepNext w:val="0"/>
        <w:keepLines w:val="0"/>
        <w:pageBreakBefore w:val="0"/>
        <w:widowControl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referatul de aprobare nr.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 448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.0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.202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5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întocmit de primarul comunei Andrasesti;</w:t>
      </w:r>
    </w:p>
    <w:p w14:paraId="48D9B189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both"/>
        <w:textAlignment w:val="auto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-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raportul nr.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427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.0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.202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 al opertorului rol din carul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comunei Andrasesti;</w:t>
      </w:r>
    </w:p>
    <w:p w14:paraId="39743CB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/>
        <w:jc w:val="both"/>
        <w:textAlignment w:val="auto"/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</w:pP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In temeiul  prevederilor :</w:t>
      </w:r>
    </w:p>
    <w:p w14:paraId="0D0A76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leftChars="0" w:right="0"/>
        <w:jc w:val="both"/>
        <w:textAlignment w:val="auto"/>
        <w:rPr>
          <w:rFonts w:hint="default" w:ascii="Tahoma" w:hAnsi="Tahoma" w:eastAsia="Tahoma" w:cs="Tahoma"/>
          <w:sz w:val="24"/>
          <w:szCs w:val="24"/>
          <w:lang w:val="ro"/>
        </w:rPr>
      </w:pP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>Având în vedere:</w:t>
      </w:r>
    </w:p>
    <w:p w14:paraId="664E8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leftChars="0" w:right="0"/>
        <w:jc w:val="both"/>
        <w:textAlignment w:val="auto"/>
        <w:rPr>
          <w:rFonts w:hint="default" w:ascii="Tahoma" w:hAnsi="Tahoma" w:eastAsia="Tahoma" w:cs="Tahoma"/>
          <w:sz w:val="24"/>
          <w:szCs w:val="24"/>
          <w:lang w:val="ro"/>
        </w:rPr>
      </w:pP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>- Prevederile hotărârii consiliului local nr.34/25.04.2024, prin care se stabilesc taxele și impozitele locale pentru anul 2025 la nivelul comunei Andrășești, județul Ialomița,</w:t>
      </w:r>
    </w:p>
    <w:p w14:paraId="075D56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leftChars="0" w:right="0"/>
        <w:jc w:val="both"/>
        <w:textAlignment w:val="auto"/>
        <w:rPr>
          <w:rFonts w:hint="default" w:ascii="Tahoma" w:hAnsi="Tahoma" w:eastAsia="Tahoma" w:cs="Tahoma"/>
          <w:sz w:val="24"/>
          <w:szCs w:val="24"/>
          <w:lang w:val="ro"/>
        </w:rPr>
      </w:pP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>- Prevederile hotărârii consiliului local  prin care se aprobă  regulamentul privind procedura pentru înregistrarea, evidența și radierea vehiculelor pentru care există obligativitatea înregistrării, depe raza administrativ-teritorială a U.A.T. Andrășești,</w:t>
      </w:r>
    </w:p>
    <w:p w14:paraId="245C81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leftChars="0" w:right="0"/>
        <w:jc w:val="both"/>
        <w:textAlignment w:val="auto"/>
        <w:rPr>
          <w:rFonts w:hint="default" w:ascii="Tahoma" w:hAnsi="Tahoma" w:eastAsia="Tahoma" w:cs="Tahoma"/>
          <w:sz w:val="24"/>
          <w:szCs w:val="24"/>
          <w:lang w:val="ro"/>
        </w:rPr>
      </w:pP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>- Prevederile art. 8, alin.1, lit. i și lit. j, art. 14, lit. c, art.15, alin.1, art.16, alin.2 din regulamentul privind procedura pentru înregistrarea, evidența și radierea vehiculelor pentru care există obligativitatea înregistrării, depe raza administrativ-teritorială a U.A.T. Andrășești,</w:t>
      </w:r>
    </w:p>
    <w:p w14:paraId="65574D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leftChars="0" w:right="0"/>
        <w:jc w:val="both"/>
        <w:textAlignment w:val="auto"/>
        <w:rPr>
          <w:rFonts w:hint="default" w:ascii="Tahoma" w:hAnsi="Tahoma" w:eastAsia="Tahoma" w:cs="Tahoma"/>
          <w:sz w:val="24"/>
          <w:szCs w:val="24"/>
          <w:lang w:val="ro"/>
        </w:rPr>
      </w:pP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>- Prevederile Legii nr. 227 din 8 septembrie 2015 privind Codul fiscal, cu modificările şi completările ulterioare;</w:t>
      </w:r>
    </w:p>
    <w:p w14:paraId="36548A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leftChars="0" w:right="0"/>
        <w:jc w:val="both"/>
        <w:textAlignment w:val="auto"/>
        <w:rPr>
          <w:rFonts w:hint="default" w:ascii="Tahoma" w:hAnsi="Tahoma" w:eastAsia="Tahoma" w:cs="Tahoma"/>
          <w:sz w:val="24"/>
          <w:szCs w:val="24"/>
          <w:lang w:val="ro"/>
        </w:rPr>
      </w:pP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>- Prevederile H.G. nr. 1 din 6 ianuarie 2016 pentru aprobarea Normelor metodologice de aplicare a Legii nr. 227 din 8 septembrie 2015 privind Codul fiscal, cu modificările şi completările ulterioare;</w:t>
      </w:r>
    </w:p>
    <w:p w14:paraId="3151AB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leftChars="0" w:right="0"/>
        <w:jc w:val="both"/>
        <w:textAlignment w:val="auto"/>
        <w:rPr>
          <w:rFonts w:hint="default" w:ascii="Tahoma" w:hAnsi="Tahoma" w:eastAsia="Tahoma" w:cs="Tahoma"/>
          <w:sz w:val="24"/>
          <w:szCs w:val="24"/>
          <w:lang w:val="ro"/>
        </w:rPr>
      </w:pP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>- Prevederile art. 7 din Legea nr. 52 din 21 ianuarie 2003 privind transparenţa decizională in administraţia publică, republicată, cu modificările şi completările ulterioare;</w:t>
      </w:r>
    </w:p>
    <w:p w14:paraId="59C445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leftChars="0" w:right="0"/>
        <w:jc w:val="both"/>
        <w:textAlignment w:val="auto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>- Prevederile Legii nr. 24 din 27 martie 2000 privind normele de tehnică legislativă pentru elaborarea actelor normative, republicată,cu modificările şi completările ulterioare</w:t>
      </w:r>
    </w:p>
    <w:p w14:paraId="27A2FCDC">
      <w:pPr>
        <w:pStyle w:val="2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840" w:leftChars="0"/>
        <w:jc w:val="both"/>
        <w:textAlignment w:val="auto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32CB427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 O T Ă R A Ș T E:</w:t>
      </w:r>
    </w:p>
    <w:p w14:paraId="6C4D2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80" w:afterAutospacing="0" w:line="240" w:lineRule="auto"/>
        <w:ind w:left="0" w:right="0" w:firstLine="720" w:firstLineChars="0"/>
        <w:jc w:val="both"/>
        <w:textAlignment w:val="auto"/>
        <w:rPr>
          <w:rFonts w:hint="default" w:ascii="Tahoma" w:hAnsi="Tahoma" w:eastAsia="Tahoma" w:cs="Tahoma"/>
          <w:sz w:val="24"/>
          <w:szCs w:val="24"/>
          <w:lang w:val="ro"/>
        </w:rPr>
      </w:pPr>
      <w:r>
        <w:rPr>
          <w:rFonts w:ascii="Tahoma" w:hAnsi="Tahoma" w:cs="Tahoma"/>
          <w:b/>
          <w:bCs/>
          <w:u w:val="single"/>
        </w:rPr>
        <w:t>Art</w:t>
      </w:r>
      <w:r>
        <w:rPr>
          <w:rFonts w:hint="default" w:ascii="Tahoma" w:hAnsi="Tahoma" w:cs="Tahoma"/>
          <w:b/>
          <w:bCs/>
          <w:u w:val="single"/>
          <w:lang w:val="en-US"/>
        </w:rPr>
        <w:t>. 1</w:t>
      </w:r>
      <w:r>
        <w:rPr>
          <w:rFonts w:ascii="Tahoma" w:hAnsi="Tahoma" w:cs="Tahoma"/>
          <w:b/>
          <w:bCs/>
          <w:u w:val="single"/>
        </w:rPr>
        <w:t>.</w:t>
      </w:r>
      <w:r>
        <w:rPr>
          <w:rFonts w:ascii="Tahoma" w:hAnsi="Tahoma" w:cs="Tahoma"/>
          <w:bCs/>
        </w:rPr>
        <w:t xml:space="preserve"> – </w:t>
      </w: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>. Se aprobă pentru anul 202</w:t>
      </w:r>
      <w:r>
        <w:rPr>
          <w:rFonts w:hint="default" w:ascii="Tahoma" w:hAnsi="Tahoma" w:eastAsia="Tahoma" w:cs="Tahoma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 xml:space="preserve"> taxele pentru eliberarea certificatului de</w:t>
      </w:r>
    </w:p>
    <w:p w14:paraId="630F7B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80" w:afterAutospacing="0" w:line="240" w:lineRule="auto"/>
        <w:ind w:left="0" w:right="0"/>
        <w:jc w:val="both"/>
        <w:textAlignment w:val="auto"/>
        <w:rPr>
          <w:rFonts w:hint="default" w:ascii="Tahoma" w:hAnsi="Tahoma" w:eastAsia="Tahoma" w:cs="Tahoma"/>
          <w:sz w:val="24"/>
          <w:szCs w:val="24"/>
          <w:lang w:val="ro"/>
        </w:rPr>
      </w:pP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>înregistrare a vehiculelor și a plăcuțelor de înmatriculare, după cum urmează:</w:t>
      </w:r>
    </w:p>
    <w:p w14:paraId="4C7F66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80" w:afterAutospacing="0" w:line="240" w:lineRule="auto"/>
        <w:ind w:left="0" w:right="0"/>
        <w:jc w:val="both"/>
        <w:textAlignment w:val="auto"/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 xml:space="preserve">- </w:t>
      </w:r>
      <w:r>
        <w:rPr>
          <w:rFonts w:hint="default" w:ascii="Tahoma" w:hAnsi="Tahoma" w:eastAsia="Tahoma" w:cs="Tahoma"/>
          <w:kern w:val="0"/>
          <w:sz w:val="24"/>
          <w:szCs w:val="24"/>
          <w:lang w:val="en-US" w:eastAsia="zh-CN" w:bidi="ar"/>
        </w:rPr>
        <w:t>55</w:t>
      </w:r>
      <w:r>
        <w:rPr>
          <w:rFonts w:hint="default" w:ascii="Tahoma" w:hAnsi="Tahoma" w:eastAsia="Tahoma" w:cs="Tahoma"/>
          <w:kern w:val="0"/>
          <w:sz w:val="24"/>
          <w:szCs w:val="24"/>
          <w:lang w:val="ro" w:eastAsia="zh-CN" w:bidi="ar"/>
        </w:rPr>
        <w:t xml:space="preserve"> lei buc - taxa pentru eliberarea plăcuțelor pentru tractoare,autovehicule;</w:t>
      </w:r>
    </w:p>
    <w:p w14:paraId="66A42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firstLine="720" w:firstLineChars="0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Art. 2</w:t>
      </w:r>
      <w:r>
        <w:rPr>
          <w:rFonts w:ascii="Tahoma" w:hAnsi="Tahoma" w:cs="Tahoma"/>
          <w:sz w:val="24"/>
          <w:szCs w:val="24"/>
        </w:rPr>
        <w:t xml:space="preserve">. 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- </w:t>
      </w:r>
      <w:r>
        <w:rPr>
          <w:rFonts w:ascii="Tahoma" w:hAnsi="Tahoma" w:cs="Tahoma"/>
          <w:sz w:val="24"/>
          <w:szCs w:val="24"/>
        </w:rPr>
        <w:t>Cu aducerea la îndeplinire a prevederilor prezentei hotărâri se încredinţează</w:t>
      </w:r>
    </w:p>
    <w:p w14:paraId="0583F1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Primarul comunei </w:t>
      </w:r>
      <w:r>
        <w:rPr>
          <w:rFonts w:hint="default" w:ascii="Tahoma" w:hAnsi="Tahoma" w:cs="Tahoma"/>
          <w:sz w:val="24"/>
          <w:szCs w:val="24"/>
          <w:lang w:val="en-US"/>
        </w:rPr>
        <w:t>Andrasesti</w:t>
      </w:r>
      <w:r>
        <w:rPr>
          <w:rFonts w:ascii="Tahoma" w:hAnsi="Tahoma" w:cs="Tahoma"/>
          <w:sz w:val="24"/>
          <w:szCs w:val="24"/>
        </w:rPr>
        <w:t xml:space="preserve"> prin Compartimentul taxe si impozite.</w:t>
      </w:r>
    </w:p>
    <w:p w14:paraId="6CF49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firstLine="720" w:firstLineChars="0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Art .3</w:t>
      </w:r>
      <w:r>
        <w:rPr>
          <w:rFonts w:ascii="Tahoma" w:hAnsi="Tahoma" w:cs="Tahoma"/>
          <w:sz w:val="24"/>
          <w:szCs w:val="24"/>
        </w:rPr>
        <w:t xml:space="preserve">. 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-</w:t>
      </w:r>
      <w:r>
        <w:rPr>
          <w:rFonts w:ascii="Tahoma" w:hAnsi="Tahoma" w:cs="Tahoma"/>
          <w:sz w:val="24"/>
          <w:szCs w:val="24"/>
        </w:rPr>
        <w:t>Prezenta hotarare se comunica cu :</w:t>
      </w:r>
    </w:p>
    <w:p w14:paraId="5DE82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2160" w:leftChars="0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Institutia Prefectului, judetul </w:t>
      </w:r>
      <w:r>
        <w:rPr>
          <w:rFonts w:hint="default" w:ascii="Tahoma" w:hAnsi="Tahoma" w:cs="Tahoma"/>
          <w:sz w:val="24"/>
          <w:szCs w:val="24"/>
          <w:lang w:val="en-US"/>
        </w:rPr>
        <w:t>Ialomita</w:t>
      </w:r>
      <w:r>
        <w:rPr>
          <w:rFonts w:ascii="Tahoma" w:hAnsi="Tahoma" w:cs="Tahoma"/>
          <w:sz w:val="24"/>
          <w:szCs w:val="24"/>
        </w:rPr>
        <w:t>;</w:t>
      </w:r>
    </w:p>
    <w:p w14:paraId="15E64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2160" w:leftChars="0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Primarul comunei </w:t>
      </w:r>
      <w:r>
        <w:rPr>
          <w:rFonts w:hint="default" w:ascii="Tahoma" w:hAnsi="Tahoma" w:cs="Tahoma"/>
          <w:sz w:val="24"/>
          <w:szCs w:val="24"/>
          <w:lang w:val="en-US"/>
        </w:rPr>
        <w:t>Andrasesti</w:t>
      </w:r>
      <w:r>
        <w:rPr>
          <w:rFonts w:ascii="Tahoma" w:hAnsi="Tahoma" w:cs="Tahoma"/>
          <w:sz w:val="24"/>
          <w:szCs w:val="24"/>
        </w:rPr>
        <w:t>,</w:t>
      </w:r>
    </w:p>
    <w:p w14:paraId="40CFC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2160" w:leftChars="0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Compartimentul contabilitate – taxe și impozite,</w:t>
      </w:r>
    </w:p>
    <w:p w14:paraId="53189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ahoma" w:hAnsi="Tahoma" w:cs="Tahoma"/>
          <w:b w:val="0"/>
          <w:bCs w:val="0"/>
          <w:sz w:val="24"/>
          <w:lang w:val="en-US"/>
        </w:rPr>
      </w:pPr>
    </w:p>
    <w:p w14:paraId="03196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ahoma" w:hAnsi="Tahoma" w:cs="Tahoma"/>
          <w:b/>
        </w:rPr>
      </w:pP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cs="Tahoma"/>
          <w:b/>
        </w:rPr>
        <w:t>PREŞEDINTE DE ŞEDINŢĂ,                          Contrasemneaza,</w:t>
      </w:r>
    </w:p>
    <w:p w14:paraId="008DB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</w:t>
      </w:r>
      <w:r>
        <w:rPr>
          <w:rFonts w:hint="default" w:ascii="Tahoma" w:hAnsi="Tahoma" w:cs="Tahoma"/>
          <w:b/>
          <w:lang w:val="ro-RO"/>
        </w:rPr>
        <w:tab/>
      </w:r>
      <w:r>
        <w:rPr>
          <w:rFonts w:hint="default" w:ascii="Tahoma" w:hAnsi="Tahoma" w:cs="Tahoma"/>
          <w:b/>
          <w:lang w:val="ro-RO"/>
        </w:rPr>
        <w:tab/>
      </w:r>
      <w:r>
        <w:rPr>
          <w:rFonts w:hint="default" w:ascii="Tahoma" w:hAnsi="Tahoma" w:cs="Tahoma"/>
          <w:b/>
          <w:lang w:val="en-US"/>
        </w:rPr>
        <w:t>IOSIF MARIAN</w:t>
      </w:r>
      <w:r>
        <w:rPr>
          <w:rFonts w:hint="default" w:ascii="Tahoma" w:hAnsi="Tahoma" w:cs="Tahoma"/>
          <w:b/>
          <w:lang w:val="ro-RO"/>
        </w:rPr>
        <w:t xml:space="preserve"> </w:t>
      </w:r>
      <w:r>
        <w:rPr>
          <w:rFonts w:hint="default" w:ascii="Tahoma" w:hAnsi="Tahoma" w:cs="Tahoma"/>
          <w:b/>
          <w:lang w:val="ro-RO"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Secretar General al UAT ANDRASESTI,</w:t>
      </w:r>
    </w:p>
    <w:p w14:paraId="7EA4A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Basturea Florin</w:t>
      </w:r>
    </w:p>
    <w:p w14:paraId="188A7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ascii="Tahoma" w:hAnsi="Tahoma" w:cs="Tahoma"/>
          <w:b/>
        </w:rPr>
      </w:pPr>
    </w:p>
    <w:p w14:paraId="4DDF1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Arial" w:hAnsi="Arial" w:cs="Arial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Adoptată la Andrasesti  cu …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10</w:t>
      </w:r>
      <w:r>
        <w:rPr>
          <w:rFonts w:ascii="Tahoma" w:hAnsi="Tahoma" w:cs="Tahoma"/>
          <w:kern w:val="1"/>
          <w:sz w:val="24"/>
          <w:szCs w:val="24"/>
          <w:lang w:eastAsia="ar-SA"/>
        </w:rPr>
        <w:t>…….. voturi  pentru,…0…..  împotriva, …0.. abtineri</w:t>
      </w:r>
      <w:bookmarkStart w:id="0" w:name="_GoBack"/>
      <w:bookmarkEnd w:id="0"/>
    </w:p>
    <w:sectPr>
      <w:pgSz w:w="11907" w:h="16839"/>
      <w:pgMar w:top="720" w:right="288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4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4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156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170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84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99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213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228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2424" w:hanging="1584"/>
      </w:pPr>
    </w:lvl>
  </w:abstractNum>
  <w:abstractNum w:abstractNumId="1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654C671A"/>
    <w:multiLevelType w:val="multilevel"/>
    <w:tmpl w:val="654C671A"/>
    <w:lvl w:ilvl="0" w:tentative="0">
      <w:start w:val="1"/>
      <w:numFmt w:val="bullet"/>
      <w:pStyle w:val="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5"/>
    <w:rsid w:val="00014F84"/>
    <w:rsid w:val="0002144B"/>
    <w:rsid w:val="00027FF0"/>
    <w:rsid w:val="00036DE9"/>
    <w:rsid w:val="000372E6"/>
    <w:rsid w:val="000412E7"/>
    <w:rsid w:val="000441DC"/>
    <w:rsid w:val="00053BF5"/>
    <w:rsid w:val="00063C83"/>
    <w:rsid w:val="00082D29"/>
    <w:rsid w:val="0008363C"/>
    <w:rsid w:val="000958DD"/>
    <w:rsid w:val="00096EB6"/>
    <w:rsid w:val="000A2F09"/>
    <w:rsid w:val="000C1D6E"/>
    <w:rsid w:val="000D2D1F"/>
    <w:rsid w:val="000D5808"/>
    <w:rsid w:val="000D5E07"/>
    <w:rsid w:val="000F5F47"/>
    <w:rsid w:val="00105203"/>
    <w:rsid w:val="00106156"/>
    <w:rsid w:val="0014035F"/>
    <w:rsid w:val="00157763"/>
    <w:rsid w:val="0016262F"/>
    <w:rsid w:val="00173126"/>
    <w:rsid w:val="00174223"/>
    <w:rsid w:val="00181525"/>
    <w:rsid w:val="001A646C"/>
    <w:rsid w:val="001C0E27"/>
    <w:rsid w:val="001C5398"/>
    <w:rsid w:val="00210505"/>
    <w:rsid w:val="00242800"/>
    <w:rsid w:val="00271FEF"/>
    <w:rsid w:val="00275045"/>
    <w:rsid w:val="00286413"/>
    <w:rsid w:val="00292467"/>
    <w:rsid w:val="00292797"/>
    <w:rsid w:val="002C3BA1"/>
    <w:rsid w:val="002C4BE0"/>
    <w:rsid w:val="002D5B2D"/>
    <w:rsid w:val="002D614C"/>
    <w:rsid w:val="002E5D31"/>
    <w:rsid w:val="002F3AF3"/>
    <w:rsid w:val="003234C7"/>
    <w:rsid w:val="0034381E"/>
    <w:rsid w:val="00360E00"/>
    <w:rsid w:val="003767A3"/>
    <w:rsid w:val="00386335"/>
    <w:rsid w:val="003960C7"/>
    <w:rsid w:val="003B4C3A"/>
    <w:rsid w:val="003D0122"/>
    <w:rsid w:val="003D0E61"/>
    <w:rsid w:val="003D29BD"/>
    <w:rsid w:val="003E2E41"/>
    <w:rsid w:val="003E2F32"/>
    <w:rsid w:val="003F0244"/>
    <w:rsid w:val="003F3ED9"/>
    <w:rsid w:val="003F799F"/>
    <w:rsid w:val="00401B06"/>
    <w:rsid w:val="00402ED0"/>
    <w:rsid w:val="004247CD"/>
    <w:rsid w:val="00442AE6"/>
    <w:rsid w:val="00460B3E"/>
    <w:rsid w:val="0046743D"/>
    <w:rsid w:val="00491054"/>
    <w:rsid w:val="00495F3A"/>
    <w:rsid w:val="004A662A"/>
    <w:rsid w:val="004B27D3"/>
    <w:rsid w:val="004E11E6"/>
    <w:rsid w:val="004F2FF3"/>
    <w:rsid w:val="005015B4"/>
    <w:rsid w:val="0053254A"/>
    <w:rsid w:val="00542CDA"/>
    <w:rsid w:val="00555DCF"/>
    <w:rsid w:val="005A79BC"/>
    <w:rsid w:val="005B742C"/>
    <w:rsid w:val="005C1E52"/>
    <w:rsid w:val="005D07F4"/>
    <w:rsid w:val="005E2592"/>
    <w:rsid w:val="005F200E"/>
    <w:rsid w:val="00627287"/>
    <w:rsid w:val="00652896"/>
    <w:rsid w:val="0066430B"/>
    <w:rsid w:val="006709BA"/>
    <w:rsid w:val="006728B1"/>
    <w:rsid w:val="006818C5"/>
    <w:rsid w:val="00682760"/>
    <w:rsid w:val="00685310"/>
    <w:rsid w:val="00685626"/>
    <w:rsid w:val="006935F7"/>
    <w:rsid w:val="00695B1F"/>
    <w:rsid w:val="006D167D"/>
    <w:rsid w:val="006E2093"/>
    <w:rsid w:val="007335BE"/>
    <w:rsid w:val="0077314C"/>
    <w:rsid w:val="00795FC5"/>
    <w:rsid w:val="007A188D"/>
    <w:rsid w:val="007A4086"/>
    <w:rsid w:val="007B75B8"/>
    <w:rsid w:val="007C7A9F"/>
    <w:rsid w:val="00803821"/>
    <w:rsid w:val="00813CF1"/>
    <w:rsid w:val="00825EEC"/>
    <w:rsid w:val="008368EC"/>
    <w:rsid w:val="0084713A"/>
    <w:rsid w:val="00855ED5"/>
    <w:rsid w:val="00861D40"/>
    <w:rsid w:val="008701E1"/>
    <w:rsid w:val="00877247"/>
    <w:rsid w:val="00881736"/>
    <w:rsid w:val="00891B13"/>
    <w:rsid w:val="00892576"/>
    <w:rsid w:val="008A0482"/>
    <w:rsid w:val="008E21B1"/>
    <w:rsid w:val="008F606A"/>
    <w:rsid w:val="009105E5"/>
    <w:rsid w:val="009107B8"/>
    <w:rsid w:val="00916385"/>
    <w:rsid w:val="00916D32"/>
    <w:rsid w:val="009223CE"/>
    <w:rsid w:val="00953209"/>
    <w:rsid w:val="00976CBB"/>
    <w:rsid w:val="009D2525"/>
    <w:rsid w:val="00A07215"/>
    <w:rsid w:val="00A111EA"/>
    <w:rsid w:val="00A32885"/>
    <w:rsid w:val="00A47AC9"/>
    <w:rsid w:val="00A90DDA"/>
    <w:rsid w:val="00A952F6"/>
    <w:rsid w:val="00AC505D"/>
    <w:rsid w:val="00AC5DE9"/>
    <w:rsid w:val="00AD4650"/>
    <w:rsid w:val="00AE58FB"/>
    <w:rsid w:val="00AF6265"/>
    <w:rsid w:val="00B32BBA"/>
    <w:rsid w:val="00B34A2E"/>
    <w:rsid w:val="00B44C82"/>
    <w:rsid w:val="00B44F2E"/>
    <w:rsid w:val="00B61BAC"/>
    <w:rsid w:val="00B73FFF"/>
    <w:rsid w:val="00B83947"/>
    <w:rsid w:val="00B939DC"/>
    <w:rsid w:val="00BA6195"/>
    <w:rsid w:val="00BB43E2"/>
    <w:rsid w:val="00BC2A3B"/>
    <w:rsid w:val="00BD3C37"/>
    <w:rsid w:val="00BE6EB5"/>
    <w:rsid w:val="00C0156E"/>
    <w:rsid w:val="00C45DE6"/>
    <w:rsid w:val="00C66C2E"/>
    <w:rsid w:val="00C8330F"/>
    <w:rsid w:val="00CB139C"/>
    <w:rsid w:val="00CB4060"/>
    <w:rsid w:val="00CD4D6F"/>
    <w:rsid w:val="00CE34DA"/>
    <w:rsid w:val="00CE7883"/>
    <w:rsid w:val="00CF4924"/>
    <w:rsid w:val="00CF6E84"/>
    <w:rsid w:val="00D05489"/>
    <w:rsid w:val="00D06695"/>
    <w:rsid w:val="00D06B46"/>
    <w:rsid w:val="00D11BB8"/>
    <w:rsid w:val="00D33C0A"/>
    <w:rsid w:val="00D37C89"/>
    <w:rsid w:val="00D40AAE"/>
    <w:rsid w:val="00D425DA"/>
    <w:rsid w:val="00D559B2"/>
    <w:rsid w:val="00D605D0"/>
    <w:rsid w:val="00D6080B"/>
    <w:rsid w:val="00D83B9D"/>
    <w:rsid w:val="00DA3CF0"/>
    <w:rsid w:val="00DD1E56"/>
    <w:rsid w:val="00DD4BBA"/>
    <w:rsid w:val="00E07265"/>
    <w:rsid w:val="00E16E00"/>
    <w:rsid w:val="00E2691C"/>
    <w:rsid w:val="00E3787C"/>
    <w:rsid w:val="00E679C1"/>
    <w:rsid w:val="00E96086"/>
    <w:rsid w:val="00EB65B2"/>
    <w:rsid w:val="00EC1B6D"/>
    <w:rsid w:val="00F0643D"/>
    <w:rsid w:val="00F34084"/>
    <w:rsid w:val="00F55D17"/>
    <w:rsid w:val="00F819D4"/>
    <w:rsid w:val="00F87601"/>
    <w:rsid w:val="00F879FF"/>
    <w:rsid w:val="00FA4E09"/>
    <w:rsid w:val="00FB2D46"/>
    <w:rsid w:val="16E97924"/>
    <w:rsid w:val="196442BC"/>
    <w:rsid w:val="1BCA6A25"/>
    <w:rsid w:val="5D6C7853"/>
    <w:rsid w:val="6A236EAD"/>
    <w:rsid w:val="6BEE6E70"/>
    <w:rsid w:val="734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 w:val="0"/>
      <w:numPr>
        <w:ilvl w:val="0"/>
        <w:numId w:val="1"/>
      </w:numPr>
      <w:suppressAutoHyphens/>
      <w:spacing w:after="0" w:line="240" w:lineRule="auto"/>
      <w:outlineLvl w:val="0"/>
    </w:pPr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left="720"/>
      <w:contextualSpacing/>
    </w:pPr>
  </w:style>
  <w:style w:type="character" w:customStyle="1" w:styleId="9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o-RO" w:eastAsia="en-US" w:bidi="ar-SA"/>
    </w:rPr>
  </w:style>
  <w:style w:type="character" w:customStyle="1" w:styleId="11">
    <w:name w:val="Heading 1 Char"/>
    <w:basedOn w:val="4"/>
    <w:link w:val="2"/>
    <w:qFormat/>
    <w:uiPriority w:val="0"/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character" w:customStyle="1" w:styleId="12">
    <w:name w:val="Heading 2 Char"/>
    <w:basedOn w:val="4"/>
    <w:link w:val="3"/>
    <w:qFormat/>
    <w:uiPriority w:val="0"/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paragraph" w:customStyle="1" w:styleId="13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5586-994A-4B2D-B48F-6ED48E1B09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1196</Words>
  <Characters>6943</Characters>
  <Lines>57</Lines>
  <Paragraphs>16</Paragraphs>
  <TotalTime>4</TotalTime>
  <ScaleCrop>false</ScaleCrop>
  <LinksUpToDate>false</LinksUpToDate>
  <CharactersWithSpaces>8123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2024-03-27T11:18:00Z</dcterms:created>
  <dc:creator>Valentin</dc:creator>
  <cp:lastModifiedBy>Primaria Andrasesti</cp:lastModifiedBy>
  <cp:lastPrinted>2025-07-21T08:10:56Z</cp:lastPrinted>
  <dcterms:modified xsi:type="dcterms:W3CDTF">2025-07-21T08:12:27Z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7CFC56E95C22424AA339744B745CB040_13</vt:lpwstr>
  </property>
</Properties>
</file>