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page" w:horzAnchor="margin" w:tblpY="44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2250"/>
      </w:tblGrid>
      <w:tr w14:paraId="21AA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noWrap w:val="0"/>
            <w:vAlign w:val="top"/>
          </w:tcPr>
          <w:p w14:paraId="661A1756">
            <w:pPr>
              <w:keepNext w:val="0"/>
              <w:keepLines w:val="0"/>
              <w:suppressLineNumbers w:val="0"/>
              <w:suppressAutoHyphens w:val="0"/>
              <w:autoSpaceDE/>
              <w:autoSpaceDN w:val="0"/>
              <w:spacing w:before="0" w:beforeAutospacing="0" w:after="0" w:afterAutospacing="0"/>
              <w:ind w:left="0" w:right="0"/>
              <w:rPr>
                <w:rFonts w:hint="default" w:ascii="Arial" w:hAnsi="Arial" w:eastAsia="Calibri" w:cs="Arial"/>
                <w:b/>
                <w:kern w:val="3"/>
                <w:sz w:val="32"/>
                <w:szCs w:val="32"/>
                <w:lang w:eastAsia="en-US" w:bidi="ar-SA"/>
              </w:rPr>
            </w:pPr>
            <w:r>
              <w:rPr>
                <w:rFonts w:hint="default" w:ascii="Calibri" w:hAnsi="Calibri" w:eastAsia="Calibri" w:cs="Times New Roman"/>
                <w:kern w:val="3"/>
                <w:sz w:val="22"/>
                <w:szCs w:val="22"/>
                <w:lang w:val="ro-RO" w:eastAsia="ro-RO" w:bidi="ar-SA"/>
              </w:rPr>
              <w:drawing>
                <wp:inline distT="0" distB="0" distL="114300" distR="114300">
                  <wp:extent cx="1021080" cy="1175385"/>
                  <wp:effectExtent l="0" t="0" r="0" b="13335"/>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pic:cNvPicPr>
                        </pic:nvPicPr>
                        <pic:blipFill>
                          <a:blip r:embed="rId7"/>
                          <a:stretch>
                            <a:fillRect/>
                          </a:stretch>
                        </pic:blipFill>
                        <pic:spPr>
                          <a:xfrm>
                            <a:off x="0" y="0"/>
                            <a:ext cx="1021080" cy="1175385"/>
                          </a:xfrm>
                          <a:prstGeom prst="rect">
                            <a:avLst/>
                          </a:prstGeom>
                          <a:noFill/>
                          <a:ln>
                            <a:noFill/>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noWrap w:val="0"/>
            <w:vAlign w:val="top"/>
          </w:tcPr>
          <w:p w14:paraId="05A383C8">
            <w:pPr>
              <w:pStyle w:val="13"/>
              <w:keepNext w:val="0"/>
              <w:keepLines w:val="0"/>
              <w:suppressLineNumbers w:val="0"/>
              <w:suppressAutoHyphens w:val="0"/>
              <w:autoSpaceDE/>
              <w:autoSpaceDN w:val="0"/>
              <w:spacing w:before="0" w:beforeAutospacing="0" w:after="0" w:afterAutospacing="0"/>
              <w:ind w:left="0" w:right="0"/>
              <w:jc w:val="center"/>
              <w:rPr>
                <w:rFonts w:hint="default" w:ascii="Tahoma" w:hAnsi="Tahoma" w:eastAsia="Calibri" w:cs="Tahoma"/>
                <w:b/>
                <w:kern w:val="3"/>
                <w:sz w:val="24"/>
                <w:szCs w:val="24"/>
                <w:lang w:eastAsia="en-US" w:bidi="ar-SA"/>
              </w:rPr>
            </w:pPr>
          </w:p>
          <w:p w14:paraId="19705D01">
            <w:pPr>
              <w:pStyle w:val="13"/>
              <w:keepNext w:val="0"/>
              <w:keepLines w:val="0"/>
              <w:suppressLineNumbers w:val="0"/>
              <w:suppressAutoHyphens w:val="0"/>
              <w:autoSpaceDE/>
              <w:autoSpaceDN w:val="0"/>
              <w:spacing w:before="0" w:beforeAutospacing="0" w:after="0" w:afterAutospacing="0"/>
              <w:ind w:left="0" w:right="0"/>
              <w:jc w:val="center"/>
              <w:rPr>
                <w:rFonts w:hint="default" w:ascii="Tahoma" w:hAnsi="Tahoma" w:eastAsia="Calibri" w:cs="Tahoma"/>
                <w:b/>
                <w:kern w:val="3"/>
                <w:sz w:val="24"/>
                <w:szCs w:val="24"/>
                <w:lang w:eastAsia="en-US" w:bidi="ar-SA"/>
              </w:rPr>
            </w:pPr>
            <w:r>
              <w:rPr>
                <w:rFonts w:hint="default" w:ascii="Tahoma" w:hAnsi="Tahoma" w:eastAsia="Calibri" w:cs="Tahoma"/>
                <w:b/>
                <w:kern w:val="3"/>
                <w:sz w:val="24"/>
                <w:szCs w:val="24"/>
                <w:lang w:eastAsia="en-US" w:bidi="ar-SA"/>
              </w:rPr>
              <w:t>ROMÂNIA</w:t>
            </w:r>
            <w:r>
              <w:rPr>
                <w:rFonts w:hint="default" w:ascii="Tahoma" w:hAnsi="Tahoma" w:eastAsia="Calibri" w:cs="Tahoma"/>
                <w:b/>
                <w:kern w:val="3"/>
                <w:sz w:val="24"/>
                <w:szCs w:val="24"/>
                <w:lang w:eastAsia="en-US" w:bidi="ar-SA"/>
              </w:rPr>
              <w:br w:type="textWrapping"/>
            </w:r>
            <w:r>
              <w:rPr>
                <w:rFonts w:hint="default" w:ascii="Tahoma" w:hAnsi="Tahoma" w:eastAsia="Calibri" w:cs="Tahoma"/>
                <w:b/>
                <w:kern w:val="3"/>
                <w:sz w:val="24"/>
                <w:szCs w:val="24"/>
                <w:lang w:eastAsia="en-US" w:bidi="ar-SA"/>
              </w:rPr>
              <w:t>JUDEȚUL IALOMIȚA</w:t>
            </w:r>
          </w:p>
          <w:p w14:paraId="167F3ADE">
            <w:pPr>
              <w:keepNext w:val="0"/>
              <w:keepLines w:val="0"/>
              <w:suppressLineNumbers w:val="0"/>
              <w:suppressAutoHyphens w:val="0"/>
              <w:autoSpaceDE/>
              <w:autoSpaceDN w:val="0"/>
              <w:spacing w:before="0" w:beforeAutospacing="0" w:after="0" w:afterAutospacing="0"/>
              <w:ind w:left="0" w:right="0"/>
              <w:jc w:val="center"/>
              <w:rPr>
                <w:rFonts w:hint="default" w:ascii="Arial" w:hAnsi="Arial" w:eastAsia="Calibri" w:cs="Arial"/>
                <w:b/>
                <w:kern w:val="3"/>
                <w:sz w:val="32"/>
                <w:szCs w:val="32"/>
                <w:lang w:eastAsia="en-US" w:bidi="ar-SA"/>
              </w:rPr>
            </w:pPr>
            <w:r>
              <w:rPr>
                <w:rFonts w:hint="default" w:ascii="Tahoma" w:hAnsi="Tahoma" w:eastAsia="Calibri" w:cs="Tahoma"/>
                <w:b/>
                <w:kern w:val="3"/>
                <w:sz w:val="24"/>
                <w:szCs w:val="24"/>
                <w:lang w:eastAsia="en-US" w:bidi="ar-SA"/>
              </w:rPr>
              <w:t>CONSILIUL LOCAL AL COMUNEI ANDR</w:t>
            </w:r>
            <w:r>
              <w:rPr>
                <w:rFonts w:hint="default" w:ascii="Tahoma" w:hAnsi="Tahoma" w:eastAsia="Calibri" w:cs="Tahoma"/>
                <w:b/>
                <w:kern w:val="3"/>
                <w:sz w:val="24"/>
                <w:szCs w:val="24"/>
                <w:lang w:val="ro-RO" w:eastAsia="en-US" w:bidi="ar-SA"/>
              </w:rPr>
              <w:t>ĂȘEȘTI</w:t>
            </w:r>
          </w:p>
        </w:tc>
        <w:tc>
          <w:tcPr>
            <w:tcW w:w="2250" w:type="dxa"/>
            <w:tcBorders>
              <w:top w:val="single" w:color="auto" w:sz="4" w:space="0"/>
              <w:left w:val="single" w:color="auto" w:sz="4" w:space="0"/>
              <w:bottom w:val="single" w:color="auto" w:sz="4" w:space="0"/>
              <w:right w:val="single" w:color="auto" w:sz="4" w:space="0"/>
            </w:tcBorders>
            <w:noWrap w:val="0"/>
            <w:vAlign w:val="top"/>
          </w:tcPr>
          <w:p w14:paraId="269CE1E8">
            <w:pPr>
              <w:keepNext w:val="0"/>
              <w:keepLines w:val="0"/>
              <w:suppressLineNumbers w:val="0"/>
              <w:suppressAutoHyphens w:val="0"/>
              <w:autoSpaceDE/>
              <w:autoSpaceDN w:val="0"/>
              <w:spacing w:before="0" w:beforeAutospacing="0" w:after="0" w:afterAutospacing="0"/>
              <w:ind w:left="0" w:right="0"/>
              <w:rPr>
                <w:rFonts w:hint="default" w:ascii="Arial" w:hAnsi="Arial" w:eastAsia="Calibri" w:cs="Arial"/>
                <w:b/>
                <w:kern w:val="3"/>
                <w:sz w:val="32"/>
                <w:szCs w:val="32"/>
                <w:lang w:eastAsia="en-US" w:bidi="ar-SA"/>
              </w:rPr>
            </w:pPr>
          </w:p>
          <w:p w14:paraId="17872313">
            <w:pPr>
              <w:keepNext w:val="0"/>
              <w:keepLines w:val="0"/>
              <w:suppressLineNumbers w:val="0"/>
              <w:suppressAutoHyphens w:val="0"/>
              <w:autoSpaceDE/>
              <w:autoSpaceDN w:val="0"/>
              <w:spacing w:before="0" w:beforeAutospacing="0" w:after="0" w:afterAutospacing="0"/>
              <w:ind w:left="0" w:right="0"/>
              <w:jc w:val="center"/>
              <w:rPr>
                <w:rFonts w:hint="default" w:ascii="Arial" w:hAnsi="Arial" w:eastAsia="Calibri" w:cs="Arial"/>
                <w:b w:val="0"/>
                <w:bCs/>
                <w:kern w:val="3"/>
                <w:sz w:val="24"/>
                <w:szCs w:val="24"/>
                <w:lang w:eastAsia="en-US" w:bidi="ar-SA"/>
              </w:rPr>
            </w:pPr>
          </w:p>
          <w:p w14:paraId="0B1A4DC9">
            <w:pPr>
              <w:keepNext w:val="0"/>
              <w:keepLines w:val="0"/>
              <w:suppressLineNumbers w:val="0"/>
              <w:suppressAutoHyphens w:val="0"/>
              <w:autoSpaceDE/>
              <w:autoSpaceDN w:val="0"/>
              <w:spacing w:before="0" w:beforeAutospacing="0" w:after="0" w:afterAutospacing="0"/>
              <w:ind w:left="0" w:right="0"/>
              <w:jc w:val="center"/>
              <w:rPr>
                <w:rFonts w:hint="default" w:ascii="Arial" w:hAnsi="Arial" w:eastAsia="Calibri" w:cs="Arial"/>
                <w:b/>
                <w:kern w:val="3"/>
                <w:sz w:val="32"/>
                <w:szCs w:val="32"/>
                <w:lang w:val="en-US" w:eastAsia="en-US" w:bidi="ar-SA"/>
              </w:rPr>
            </w:pPr>
            <w:r>
              <w:rPr>
                <w:rFonts w:hint="default" w:ascii="Arial" w:hAnsi="Arial" w:eastAsia="Calibri" w:cs="Arial"/>
                <w:b/>
                <w:bCs w:val="0"/>
                <w:kern w:val="3"/>
                <w:sz w:val="28"/>
                <w:szCs w:val="28"/>
                <w:lang w:eastAsia="en-US" w:bidi="ar-SA"/>
              </w:rPr>
              <w:t xml:space="preserve">NR. </w:t>
            </w:r>
            <w:r>
              <w:rPr>
                <w:rFonts w:hint="default" w:ascii="Arial" w:hAnsi="Arial" w:eastAsia="Calibri" w:cs="Arial"/>
                <w:b/>
                <w:bCs w:val="0"/>
                <w:kern w:val="3"/>
                <w:sz w:val="28"/>
                <w:szCs w:val="28"/>
                <w:lang w:val="en-US" w:eastAsia="en-US" w:bidi="ar-SA"/>
              </w:rPr>
              <w:t>40</w:t>
            </w:r>
            <w:r>
              <w:rPr>
                <w:rFonts w:hint="default" w:ascii="Arial" w:hAnsi="Arial" w:eastAsia="Calibri" w:cs="Arial"/>
                <w:b w:val="0"/>
                <w:bCs/>
                <w:kern w:val="3"/>
                <w:sz w:val="24"/>
                <w:szCs w:val="24"/>
                <w:lang w:eastAsia="en-US" w:bidi="ar-SA"/>
              </w:rPr>
              <w:t xml:space="preserve"> </w:t>
            </w:r>
          </w:p>
        </w:tc>
      </w:tr>
    </w:tbl>
    <w:p w14:paraId="13B70E56">
      <w:pPr>
        <w:pStyle w:val="37"/>
        <w:jc w:val="both"/>
        <w:rPr>
          <w:rFonts w:ascii="Times New Roman" w:hAnsi="Times New Roman" w:cs="Times New Roman"/>
          <w:b/>
          <w:bCs/>
          <w:sz w:val="24"/>
          <w:szCs w:val="24"/>
          <w:lang w:val="es-ES"/>
        </w:rPr>
      </w:pPr>
    </w:p>
    <w:p w14:paraId="76822894">
      <w:pPr>
        <w:pStyle w:val="37"/>
        <w:jc w:val="both"/>
        <w:rPr>
          <w:rFonts w:hint="default" w:ascii="Tahoma" w:hAnsi="Tahoma" w:cs="Tahoma"/>
          <w:sz w:val="24"/>
          <w:szCs w:val="24"/>
          <w:lang w:val="es-ES"/>
        </w:rPr>
      </w:pPr>
    </w:p>
    <w:p w14:paraId="7A5BB6A4">
      <w:pPr>
        <w:pStyle w:val="37"/>
        <w:jc w:val="center"/>
        <w:rPr>
          <w:rFonts w:hint="default" w:ascii="Tahoma" w:hAnsi="Tahoma" w:cs="Tahoma"/>
          <w:b/>
          <w:bCs/>
          <w:sz w:val="28"/>
          <w:szCs w:val="28"/>
          <w:lang w:val="es-ES"/>
        </w:rPr>
      </w:pPr>
      <w:r>
        <w:rPr>
          <w:rFonts w:hint="default" w:ascii="Tahoma" w:hAnsi="Tahoma" w:cs="Tahoma"/>
          <w:b/>
          <w:bCs/>
          <w:sz w:val="28"/>
          <w:szCs w:val="28"/>
          <w:lang w:val="es-ES"/>
        </w:rPr>
        <w:t>HOTĂRÂRE</w:t>
      </w:r>
    </w:p>
    <w:p w14:paraId="2B7A9B9A">
      <w:pPr>
        <w:pStyle w:val="37"/>
        <w:jc w:val="center"/>
        <w:rPr>
          <w:rFonts w:hint="default" w:ascii="Tahoma" w:hAnsi="Tahoma" w:cs="Tahoma"/>
          <w:b/>
          <w:bCs/>
          <w:sz w:val="24"/>
          <w:szCs w:val="24"/>
          <w:lang w:val="es-ES"/>
        </w:rPr>
      </w:pPr>
      <w:r>
        <w:rPr>
          <w:rFonts w:hint="default" w:ascii="Tahoma" w:hAnsi="Tahoma" w:cs="Tahoma"/>
          <w:b/>
          <w:bCs/>
          <w:sz w:val="24"/>
          <w:szCs w:val="24"/>
          <w:lang w:val="es-ES"/>
        </w:rPr>
        <w:t xml:space="preserve">privind împuternicirea domnului </w:t>
      </w:r>
      <w:r>
        <w:rPr>
          <w:rFonts w:hint="default" w:ascii="Tahoma" w:hAnsi="Tahoma" w:cs="Tahoma"/>
          <w:b/>
          <w:bCs/>
          <w:sz w:val="24"/>
          <w:szCs w:val="24"/>
          <w:lang w:val="ro-RO"/>
        </w:rPr>
        <w:t>VASILE ADRIAN</w:t>
      </w:r>
      <w:r>
        <w:rPr>
          <w:rFonts w:hint="default" w:ascii="Tahoma" w:hAnsi="Tahoma" w:cs="Tahoma"/>
          <w:b/>
          <w:bCs/>
          <w:sz w:val="24"/>
          <w:szCs w:val="24"/>
          <w:lang w:val="es-ES"/>
        </w:rPr>
        <w:t xml:space="preserve"> având funcția de Primar al U.A.T.</w:t>
      </w:r>
      <w:r>
        <w:rPr>
          <w:rFonts w:hint="default" w:ascii="Tahoma" w:hAnsi="Tahoma" w:cs="Tahoma"/>
          <w:b/>
          <w:bCs/>
          <w:sz w:val="24"/>
          <w:szCs w:val="24"/>
          <w:lang w:val="ro-RO"/>
        </w:rPr>
        <w:t>Andrasesti</w:t>
      </w:r>
      <w:r>
        <w:rPr>
          <w:rFonts w:hint="default" w:ascii="Tahoma" w:hAnsi="Tahoma" w:cs="Tahoma"/>
          <w:b/>
          <w:bCs/>
          <w:sz w:val="24"/>
          <w:szCs w:val="24"/>
          <w:lang w:val="es-ES"/>
        </w:rPr>
        <w:t xml:space="preserve"> în Adunarea Generală a Asociației de Dezvoltare ECOO 2009 să voteze ,,pentru’’ mandatarea Asociației de Dezvoltare Intercomunitară ECOO 2009 pentru a exercita în numele și pe seama Consiliului</w:t>
      </w:r>
      <w:r>
        <w:rPr>
          <w:rFonts w:hint="default" w:ascii="Tahoma" w:hAnsi="Tahoma" w:cs="Tahoma"/>
          <w:b/>
          <w:bCs/>
          <w:sz w:val="24"/>
          <w:szCs w:val="24"/>
          <w:lang w:val="ro-RO"/>
        </w:rPr>
        <w:t xml:space="preserve"> </w:t>
      </w:r>
      <w:r>
        <w:rPr>
          <w:rFonts w:hint="default" w:ascii="Tahoma" w:hAnsi="Tahoma" w:cs="Tahoma"/>
          <w:b/>
          <w:bCs/>
          <w:sz w:val="24"/>
          <w:szCs w:val="24"/>
          <w:lang w:val="es-ES"/>
        </w:rPr>
        <w:t xml:space="preserve">Comunei </w:t>
      </w:r>
      <w:r>
        <w:rPr>
          <w:rFonts w:hint="default" w:ascii="Tahoma" w:hAnsi="Tahoma" w:cs="Tahoma"/>
          <w:b/>
          <w:bCs/>
          <w:sz w:val="24"/>
          <w:szCs w:val="24"/>
          <w:lang w:val="ro-RO"/>
        </w:rPr>
        <w:t>Andrasesti</w:t>
      </w:r>
      <w:r>
        <w:rPr>
          <w:rFonts w:hint="default" w:ascii="Tahoma" w:hAnsi="Tahoma" w:cs="Tahoma"/>
          <w:b/>
          <w:bCs/>
          <w:sz w:val="24"/>
          <w:szCs w:val="24"/>
          <w:lang w:val="es-ES"/>
        </w:rPr>
        <w:t xml:space="preserve">, </w:t>
      </w:r>
      <w:bookmarkStart w:id="0" w:name="_Hlk178845059"/>
      <w:r>
        <w:rPr>
          <w:rFonts w:hint="default" w:ascii="Tahoma" w:hAnsi="Tahoma" w:cs="Tahoma"/>
          <w:b/>
          <w:bCs/>
          <w:sz w:val="24"/>
          <w:szCs w:val="24"/>
          <w:lang w:val="es-ES"/>
        </w:rPr>
        <w:t>calitatea și atribuțiile de autoritate publică tutelară în raport cu operatorul regional S.C. ADI ECOO 2009 S.A.</w:t>
      </w:r>
    </w:p>
    <w:bookmarkEnd w:id="0"/>
    <w:p w14:paraId="19B03DB0">
      <w:pPr>
        <w:pStyle w:val="37"/>
        <w:jc w:val="center"/>
        <w:rPr>
          <w:rFonts w:hint="default" w:ascii="Tahoma" w:hAnsi="Tahoma" w:cs="Tahoma"/>
          <w:sz w:val="16"/>
          <w:szCs w:val="16"/>
          <w:lang w:val="es-ES"/>
        </w:rPr>
      </w:pPr>
    </w:p>
    <w:p w14:paraId="193B3B24">
      <w:pPr>
        <w:pStyle w:val="37"/>
        <w:jc w:val="center"/>
        <w:rPr>
          <w:rFonts w:hint="default" w:ascii="Tahoma" w:hAnsi="Tahoma" w:cs="Tahoma"/>
          <w:sz w:val="16"/>
          <w:szCs w:val="16"/>
          <w:lang w:val="es-ES"/>
        </w:rPr>
      </w:pPr>
    </w:p>
    <w:p w14:paraId="1058A262">
      <w:pPr>
        <w:pStyle w:val="37"/>
        <w:jc w:val="both"/>
        <w:rPr>
          <w:rFonts w:hint="default" w:ascii="Tahoma" w:hAnsi="Tahoma" w:cs="Tahoma"/>
          <w:b/>
          <w:bCs/>
          <w:sz w:val="24"/>
          <w:szCs w:val="24"/>
          <w:lang w:val="es-ES"/>
        </w:rPr>
      </w:pPr>
      <w:r>
        <w:rPr>
          <w:rFonts w:hint="default" w:ascii="Tahoma" w:hAnsi="Tahoma" w:cs="Tahoma"/>
          <w:sz w:val="24"/>
          <w:szCs w:val="24"/>
          <w:lang w:val="es-ES"/>
        </w:rPr>
        <w:tab/>
      </w:r>
      <w:r>
        <w:rPr>
          <w:rFonts w:hint="default" w:ascii="Tahoma" w:hAnsi="Tahoma" w:cs="Tahoma"/>
          <w:b/>
          <w:bCs/>
          <w:sz w:val="24"/>
          <w:szCs w:val="24"/>
          <w:lang w:val="es-ES"/>
        </w:rPr>
        <w:t>Consiliul local</w:t>
      </w:r>
      <w:r>
        <w:rPr>
          <w:rFonts w:hint="default" w:ascii="Tahoma" w:hAnsi="Tahoma" w:cs="Tahoma"/>
          <w:b/>
          <w:bCs/>
          <w:sz w:val="24"/>
          <w:szCs w:val="24"/>
          <w:lang w:val="ro-RO"/>
        </w:rPr>
        <w:t xml:space="preserve"> </w:t>
      </w:r>
      <w:r>
        <w:rPr>
          <w:rFonts w:hint="default" w:ascii="Tahoma" w:hAnsi="Tahoma" w:cs="Tahoma"/>
          <w:b/>
          <w:bCs/>
          <w:sz w:val="24"/>
          <w:szCs w:val="24"/>
          <w:lang w:val="es-ES"/>
        </w:rPr>
        <w:t xml:space="preserve">Comunei </w:t>
      </w:r>
      <w:r>
        <w:rPr>
          <w:rFonts w:hint="default" w:ascii="Tahoma" w:hAnsi="Tahoma" w:cs="Tahoma"/>
          <w:b/>
          <w:bCs/>
          <w:sz w:val="24"/>
          <w:szCs w:val="24"/>
          <w:lang w:val="ro-RO"/>
        </w:rPr>
        <w:t>Andrasesti</w:t>
      </w:r>
      <w:r>
        <w:rPr>
          <w:rFonts w:hint="default" w:ascii="Tahoma" w:hAnsi="Tahoma" w:cs="Tahoma"/>
          <w:b/>
          <w:bCs/>
          <w:sz w:val="24"/>
          <w:szCs w:val="24"/>
          <w:lang w:val="es-ES"/>
        </w:rPr>
        <w:t>, întrunit în ședinta ordinară în data de</w:t>
      </w:r>
      <w:r>
        <w:rPr>
          <w:rFonts w:hint="default" w:ascii="Tahoma" w:hAnsi="Tahoma" w:cs="Tahoma"/>
          <w:b/>
          <w:bCs/>
          <w:sz w:val="24"/>
          <w:szCs w:val="24"/>
          <w:lang w:val="ro-RO"/>
        </w:rPr>
        <w:t xml:space="preserve"> 30.06</w:t>
      </w:r>
      <w:r>
        <w:rPr>
          <w:rFonts w:hint="default" w:ascii="Tahoma" w:hAnsi="Tahoma" w:cs="Tahoma"/>
          <w:b/>
          <w:bCs/>
          <w:sz w:val="24"/>
          <w:szCs w:val="24"/>
          <w:lang w:val="es-ES"/>
        </w:rPr>
        <w:t xml:space="preserve"> . 2025.</w:t>
      </w:r>
    </w:p>
    <w:p w14:paraId="335A35F6">
      <w:pPr>
        <w:pStyle w:val="37"/>
        <w:jc w:val="both"/>
        <w:rPr>
          <w:rFonts w:hint="default" w:ascii="Tahoma" w:hAnsi="Tahoma" w:cs="Tahoma"/>
          <w:sz w:val="16"/>
          <w:szCs w:val="16"/>
          <w:lang w:val="es-ES"/>
        </w:rPr>
      </w:pPr>
    </w:p>
    <w:p w14:paraId="26D4E63A">
      <w:pPr>
        <w:pStyle w:val="37"/>
        <w:jc w:val="both"/>
        <w:rPr>
          <w:rFonts w:hint="default" w:ascii="Tahoma" w:hAnsi="Tahoma" w:cs="Tahoma"/>
          <w:b/>
          <w:bCs/>
          <w:sz w:val="24"/>
          <w:szCs w:val="24"/>
          <w:lang w:val="es-ES"/>
        </w:rPr>
      </w:pPr>
      <w:r>
        <w:rPr>
          <w:rFonts w:hint="default" w:ascii="Tahoma" w:hAnsi="Tahoma" w:cs="Tahoma"/>
          <w:b/>
          <w:bCs/>
          <w:sz w:val="24"/>
          <w:szCs w:val="24"/>
          <w:lang w:val="es-ES"/>
        </w:rPr>
        <w:t>Av</w:t>
      </w:r>
      <w:r>
        <w:rPr>
          <w:rFonts w:hint="default" w:ascii="Tahoma" w:hAnsi="Tahoma" w:cs="Tahoma"/>
          <w:b/>
          <w:bCs/>
          <w:sz w:val="24"/>
          <w:szCs w:val="24"/>
        </w:rPr>
        <w:t>â</w:t>
      </w:r>
      <w:r>
        <w:rPr>
          <w:rFonts w:hint="default" w:ascii="Tahoma" w:hAnsi="Tahoma" w:cs="Tahoma"/>
          <w:b/>
          <w:bCs/>
          <w:sz w:val="24"/>
          <w:szCs w:val="24"/>
          <w:lang w:val="es-ES"/>
        </w:rPr>
        <w:t>nd în vedere:</w:t>
      </w:r>
    </w:p>
    <w:p w14:paraId="4C1A2072">
      <w:pPr>
        <w:pStyle w:val="37"/>
        <w:numPr>
          <w:ilvl w:val="0"/>
          <w:numId w:val="1"/>
        </w:numPr>
        <w:jc w:val="both"/>
        <w:rPr>
          <w:rFonts w:hint="default" w:ascii="Tahoma" w:hAnsi="Tahoma" w:cs="Tahoma"/>
          <w:i/>
          <w:iCs/>
          <w:sz w:val="24"/>
          <w:szCs w:val="24"/>
        </w:rPr>
      </w:pPr>
      <w:r>
        <w:rPr>
          <w:rFonts w:hint="default" w:ascii="Tahoma" w:hAnsi="Tahoma" w:cs="Tahoma"/>
          <w:sz w:val="24"/>
          <w:szCs w:val="24"/>
          <w:lang w:val="es-ES"/>
        </w:rPr>
        <w:t xml:space="preserve">Adresa nr. </w:t>
      </w:r>
      <w:r>
        <w:rPr>
          <w:rFonts w:hint="default" w:ascii="Tahoma" w:hAnsi="Tahoma" w:cs="Tahoma"/>
          <w:sz w:val="24"/>
          <w:szCs w:val="24"/>
          <w:lang w:val="ro-RO"/>
        </w:rPr>
        <w:t>562/</w:t>
      </w:r>
      <w:r>
        <w:rPr>
          <w:rFonts w:hint="default" w:ascii="Tahoma" w:hAnsi="Tahoma" w:cs="Tahoma"/>
          <w:sz w:val="24"/>
          <w:szCs w:val="24"/>
          <w:lang w:val="es-ES"/>
        </w:rPr>
        <w:t>2025 a Asociației de Dezvoltare Intercomunitară ECOO 2009,</w:t>
      </w:r>
    </w:p>
    <w:p w14:paraId="3F65A7F2">
      <w:pPr>
        <w:pStyle w:val="37"/>
        <w:numPr>
          <w:ilvl w:val="0"/>
          <w:numId w:val="1"/>
        </w:numPr>
        <w:jc w:val="both"/>
        <w:rPr>
          <w:rFonts w:hint="default" w:ascii="Tahoma" w:hAnsi="Tahoma" w:cs="Tahoma"/>
          <w:i/>
          <w:iCs/>
          <w:sz w:val="24"/>
          <w:szCs w:val="24"/>
        </w:rPr>
      </w:pPr>
      <w:r>
        <w:rPr>
          <w:rFonts w:hint="default" w:ascii="Tahoma" w:hAnsi="Tahoma" w:cs="Tahoma"/>
          <w:i/>
          <w:iCs/>
          <w:sz w:val="24"/>
          <w:szCs w:val="24"/>
        </w:rPr>
        <w:t xml:space="preserve">Referatul de aprobare nr. </w:t>
      </w:r>
      <w:r>
        <w:rPr>
          <w:rFonts w:hint="default" w:ascii="Tahoma" w:hAnsi="Tahoma" w:cs="Tahoma"/>
          <w:i/>
          <w:iCs/>
          <w:sz w:val="24"/>
          <w:szCs w:val="24"/>
          <w:lang w:val="ro-RO"/>
        </w:rPr>
        <w:t>207</w:t>
      </w:r>
      <w:r>
        <w:rPr>
          <w:rFonts w:hint="default" w:ascii="Tahoma" w:hAnsi="Tahoma" w:cs="Tahoma"/>
          <w:i/>
          <w:iCs/>
          <w:sz w:val="24"/>
          <w:szCs w:val="24"/>
          <w:lang w:val="en-US"/>
        </w:rPr>
        <w:t>6</w:t>
      </w:r>
      <w:r>
        <w:rPr>
          <w:rFonts w:hint="default" w:ascii="Tahoma" w:hAnsi="Tahoma" w:cs="Tahoma"/>
          <w:i/>
          <w:iCs/>
          <w:sz w:val="24"/>
          <w:szCs w:val="24"/>
        </w:rPr>
        <w:t xml:space="preserve"> din</w:t>
      </w:r>
      <w:r>
        <w:rPr>
          <w:rFonts w:hint="default" w:ascii="Tahoma" w:hAnsi="Tahoma" w:cs="Tahoma"/>
          <w:i/>
          <w:iCs/>
          <w:sz w:val="24"/>
          <w:szCs w:val="24"/>
          <w:lang w:val="ro-RO"/>
        </w:rPr>
        <w:t xml:space="preserve"> 24.06.2025</w:t>
      </w:r>
      <w:r>
        <w:rPr>
          <w:rFonts w:hint="default" w:ascii="Tahoma" w:hAnsi="Tahoma" w:cs="Tahoma"/>
          <w:i/>
          <w:iCs/>
          <w:sz w:val="24"/>
          <w:szCs w:val="24"/>
        </w:rPr>
        <w:t xml:space="preserve"> al Primarului Comunei </w:t>
      </w:r>
      <w:r>
        <w:rPr>
          <w:rFonts w:hint="default" w:ascii="Tahoma" w:hAnsi="Tahoma" w:cs="Tahoma"/>
          <w:i/>
          <w:iCs/>
          <w:sz w:val="24"/>
          <w:szCs w:val="24"/>
          <w:lang w:val="ro-RO"/>
        </w:rPr>
        <w:t>Andrasesti</w:t>
      </w:r>
      <w:r>
        <w:rPr>
          <w:rFonts w:hint="default" w:ascii="Tahoma" w:hAnsi="Tahoma" w:cs="Tahoma"/>
          <w:i/>
          <w:iCs/>
          <w:sz w:val="24"/>
          <w:szCs w:val="24"/>
        </w:rPr>
        <w:t>,</w:t>
      </w:r>
    </w:p>
    <w:p w14:paraId="0109D8FB">
      <w:pPr>
        <w:autoSpaceDE w:val="0"/>
        <w:autoSpaceDN w:val="0"/>
        <w:adjustRightInd w:val="0"/>
        <w:ind w:firstLine="720"/>
        <w:jc w:val="both"/>
        <w:rPr>
          <w:rFonts w:hint="default" w:ascii="Tahoma" w:hAnsi="Tahoma" w:cs="Tahoma"/>
          <w:i/>
          <w:iCs/>
          <w:sz w:val="24"/>
          <w:szCs w:val="24"/>
        </w:rPr>
      </w:pPr>
      <w:r>
        <w:rPr>
          <w:rFonts w:hint="default" w:ascii="Tahoma" w:hAnsi="Tahoma" w:cs="Tahoma"/>
          <w:i/>
          <w:iCs/>
          <w:sz w:val="24"/>
          <w:szCs w:val="24"/>
        </w:rPr>
        <w:t>Examinând:</w:t>
      </w:r>
    </w:p>
    <w:p w14:paraId="7B1AC77E">
      <w:pPr>
        <w:autoSpaceDE w:val="0"/>
        <w:autoSpaceDN w:val="0"/>
        <w:adjustRightInd w:val="0"/>
        <w:jc w:val="both"/>
        <w:rPr>
          <w:rFonts w:hint="default" w:ascii="Tahoma" w:hAnsi="Tahoma" w:cs="Tahoma"/>
          <w:i/>
          <w:iCs/>
          <w:sz w:val="24"/>
          <w:szCs w:val="24"/>
        </w:rPr>
      </w:pPr>
      <w:r>
        <w:rPr>
          <w:rFonts w:hint="default" w:ascii="Tahoma" w:hAnsi="Tahoma" w:cs="Tahoma"/>
          <w:i/>
          <w:iCs/>
          <w:sz w:val="24"/>
          <w:szCs w:val="24"/>
        </w:rPr>
        <w:tab/>
      </w:r>
      <w:r>
        <w:rPr>
          <w:rFonts w:hint="default" w:ascii="Tahoma" w:hAnsi="Tahoma" w:cs="Tahoma"/>
          <w:i/>
          <w:iCs/>
          <w:sz w:val="24"/>
          <w:szCs w:val="24"/>
        </w:rPr>
        <w:t>- Raportul de specialitate nr.</w:t>
      </w:r>
      <w:r>
        <w:rPr>
          <w:rFonts w:hint="default" w:ascii="Tahoma" w:hAnsi="Tahoma" w:cs="Tahoma"/>
          <w:i/>
          <w:iCs/>
          <w:sz w:val="24"/>
          <w:szCs w:val="24"/>
          <w:lang w:val="ro-RO"/>
        </w:rPr>
        <w:t xml:space="preserve"> 207</w:t>
      </w:r>
      <w:r>
        <w:rPr>
          <w:rFonts w:hint="default" w:ascii="Tahoma" w:hAnsi="Tahoma" w:cs="Tahoma"/>
          <w:i/>
          <w:iCs/>
          <w:sz w:val="24"/>
          <w:szCs w:val="24"/>
          <w:lang w:val="en-US"/>
        </w:rPr>
        <w:t>5</w:t>
      </w:r>
      <w:bookmarkStart w:id="4" w:name="_GoBack"/>
      <w:bookmarkEnd w:id="4"/>
      <w:r>
        <w:rPr>
          <w:rFonts w:hint="default" w:ascii="Tahoma" w:hAnsi="Tahoma" w:cs="Tahoma"/>
          <w:i/>
          <w:iCs/>
          <w:sz w:val="24"/>
          <w:szCs w:val="24"/>
          <w:lang w:val="ro-RO"/>
        </w:rPr>
        <w:t xml:space="preserve"> </w:t>
      </w:r>
      <w:r>
        <w:rPr>
          <w:rFonts w:hint="default" w:ascii="Tahoma" w:hAnsi="Tahoma" w:cs="Tahoma"/>
          <w:i/>
          <w:iCs/>
          <w:sz w:val="24"/>
          <w:szCs w:val="24"/>
        </w:rPr>
        <w:t xml:space="preserve">din </w:t>
      </w:r>
      <w:r>
        <w:rPr>
          <w:rFonts w:hint="default" w:ascii="Tahoma" w:hAnsi="Tahoma" w:cs="Tahoma"/>
          <w:i/>
          <w:iCs/>
          <w:sz w:val="24"/>
          <w:szCs w:val="24"/>
          <w:lang w:val="ro-RO"/>
        </w:rPr>
        <w:t>24,06,2025</w:t>
      </w:r>
      <w:r>
        <w:rPr>
          <w:rFonts w:hint="default" w:ascii="Tahoma" w:hAnsi="Tahoma" w:cs="Tahoma"/>
          <w:i/>
          <w:iCs/>
          <w:sz w:val="24"/>
          <w:szCs w:val="24"/>
        </w:rPr>
        <w:t xml:space="preserve"> al Compartimentului de specialitate al Primăriei </w:t>
      </w:r>
      <w:r>
        <w:rPr>
          <w:rFonts w:hint="default" w:ascii="Tahoma" w:hAnsi="Tahoma" w:cs="Tahoma"/>
          <w:i/>
          <w:iCs/>
          <w:sz w:val="24"/>
          <w:szCs w:val="24"/>
          <w:lang w:val="ro-RO"/>
        </w:rPr>
        <w:t xml:space="preserve"> andrasesti</w:t>
      </w:r>
      <w:r>
        <w:rPr>
          <w:rFonts w:hint="default" w:ascii="Tahoma" w:hAnsi="Tahoma" w:cs="Tahoma"/>
          <w:i/>
          <w:iCs/>
          <w:sz w:val="24"/>
          <w:szCs w:val="24"/>
        </w:rPr>
        <w:t>;</w:t>
      </w:r>
    </w:p>
    <w:p w14:paraId="0E795747">
      <w:pPr>
        <w:pStyle w:val="13"/>
        <w:spacing w:after="0"/>
        <w:rPr>
          <w:rFonts w:hint="default" w:ascii="Tahoma" w:hAnsi="Tahoma" w:cs="Tahoma"/>
          <w:sz w:val="24"/>
          <w:szCs w:val="24"/>
        </w:rPr>
      </w:pPr>
      <w:r>
        <w:rPr>
          <w:rFonts w:hint="default" w:ascii="Tahoma" w:hAnsi="Tahoma" w:cs="Tahoma"/>
          <w:i/>
          <w:iCs/>
          <w:sz w:val="24"/>
          <w:szCs w:val="24"/>
        </w:rPr>
        <w:tab/>
      </w:r>
      <w:r>
        <w:rPr>
          <w:rFonts w:hint="default" w:ascii="Tahoma" w:hAnsi="Tahoma" w:cs="Tahoma"/>
          <w:sz w:val="24"/>
          <w:szCs w:val="24"/>
        </w:rPr>
        <w:t>- avizul nr. 22</w:t>
      </w:r>
      <w:r>
        <w:rPr>
          <w:rFonts w:hint="default" w:ascii="Tahoma" w:hAnsi="Tahoma" w:cs="Tahoma"/>
          <w:sz w:val="24"/>
          <w:szCs w:val="24"/>
          <w:lang w:val="ro-RO"/>
        </w:rPr>
        <w:t>7</w:t>
      </w:r>
      <w:r>
        <w:rPr>
          <w:rFonts w:hint="default" w:ascii="Tahoma" w:hAnsi="Tahoma" w:cs="Tahoma"/>
          <w:sz w:val="24"/>
          <w:szCs w:val="24"/>
          <w:lang w:val="en-US"/>
        </w:rPr>
        <w:t>7</w:t>
      </w:r>
      <w:r>
        <w:rPr>
          <w:rFonts w:hint="default" w:ascii="Tahoma" w:hAnsi="Tahoma" w:cs="Tahoma"/>
          <w:sz w:val="24"/>
          <w:szCs w:val="24"/>
        </w:rPr>
        <w:t xml:space="preserve">  din 24.06.2025 </w:t>
      </w:r>
      <w:r>
        <w:rPr>
          <w:rFonts w:hint="default" w:ascii="Tahoma" w:hAnsi="Tahoma" w:eastAsia="Times New Roman" w:cs="Tahoma"/>
          <w:color w:val="222222"/>
          <w:sz w:val="24"/>
          <w:szCs w:val="24"/>
          <w:lang w:eastAsia="ro-RO"/>
        </w:rPr>
        <w:t>economico-financiara, juridica si de disciplina</w:t>
      </w:r>
      <w:r>
        <w:rPr>
          <w:rFonts w:hint="default" w:ascii="Tahoma" w:hAnsi="Tahoma" w:cs="Tahoma"/>
          <w:sz w:val="24"/>
          <w:szCs w:val="24"/>
        </w:rPr>
        <w:t>;</w:t>
      </w:r>
    </w:p>
    <w:p w14:paraId="64A9B912">
      <w:pPr>
        <w:pStyle w:val="13"/>
        <w:spacing w:after="0"/>
        <w:ind w:firstLine="720" w:firstLineChars="0"/>
        <w:rPr>
          <w:rFonts w:hint="default" w:ascii="Tahoma" w:hAnsi="Tahoma" w:eastAsia="Times New Roman" w:cs="Tahoma"/>
          <w:color w:val="222222"/>
          <w:sz w:val="24"/>
          <w:szCs w:val="24"/>
          <w:lang w:eastAsia="ro-RO"/>
        </w:rPr>
      </w:pPr>
      <w:r>
        <w:rPr>
          <w:rFonts w:hint="default" w:ascii="Tahoma" w:hAnsi="Tahoma" w:cs="Tahoma"/>
          <w:sz w:val="24"/>
          <w:szCs w:val="24"/>
          <w:lang w:val="ro-RO"/>
        </w:rPr>
        <w:t xml:space="preserve">- </w:t>
      </w:r>
      <w:r>
        <w:rPr>
          <w:rFonts w:hint="default" w:ascii="Tahoma" w:hAnsi="Tahoma" w:eastAsia="Calibri" w:cs="Tahoma"/>
          <w:sz w:val="24"/>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22</w:t>
      </w:r>
      <w:r>
        <w:rPr>
          <w:rFonts w:hint="default" w:ascii="Tahoma" w:hAnsi="Tahoma" w:cs="Tahoma"/>
          <w:sz w:val="24"/>
          <w:szCs w:val="24"/>
          <w:lang w:val="ro-RO"/>
        </w:rPr>
        <w:t>7</w:t>
      </w:r>
      <w:r>
        <w:rPr>
          <w:rFonts w:hint="default" w:ascii="Tahoma" w:hAnsi="Tahoma" w:cs="Tahoma"/>
          <w:sz w:val="24"/>
          <w:szCs w:val="24"/>
          <w:lang w:val="en-US"/>
        </w:rPr>
        <w:t xml:space="preserve">8 </w:t>
      </w:r>
      <w:r>
        <w:rPr>
          <w:rFonts w:hint="default" w:ascii="Tahoma" w:hAnsi="Tahoma" w:cs="Tahoma"/>
          <w:sz w:val="24"/>
          <w:szCs w:val="24"/>
        </w:rPr>
        <w:t xml:space="preserve">din  </w:t>
      </w:r>
      <w:r>
        <w:rPr>
          <w:rFonts w:hint="default" w:ascii="Tahoma" w:hAnsi="Tahoma" w:cs="Tahoma"/>
          <w:sz w:val="24"/>
          <w:szCs w:val="24"/>
          <w:lang w:val="en-US"/>
        </w:rPr>
        <w:t>24.06.</w:t>
      </w:r>
      <w:r>
        <w:rPr>
          <w:rFonts w:hint="default" w:ascii="Tahoma" w:hAnsi="Tahoma" w:cs="Tahoma"/>
          <w:sz w:val="24"/>
          <w:szCs w:val="24"/>
        </w:rPr>
        <w:t>202</w:t>
      </w:r>
      <w:r>
        <w:rPr>
          <w:rFonts w:hint="default" w:ascii="Tahoma" w:hAnsi="Tahoma" w:cs="Tahoma"/>
          <w:sz w:val="24"/>
          <w:szCs w:val="24"/>
          <w:lang w:val="en-US"/>
        </w:rPr>
        <w:t xml:space="preserve">5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activitati social-culturale, culte, invatamant, sanatate, familie, munca, protectie sociala si protectia copilului:</w:t>
      </w:r>
    </w:p>
    <w:p w14:paraId="3D623BFE">
      <w:pPr>
        <w:pStyle w:val="37"/>
        <w:jc w:val="both"/>
        <w:rPr>
          <w:rFonts w:hint="default" w:ascii="Tahoma" w:hAnsi="Tahoma" w:cs="Tahoma"/>
          <w:sz w:val="16"/>
          <w:szCs w:val="16"/>
          <w:lang w:val="en-US"/>
        </w:rPr>
      </w:pPr>
      <w:r>
        <w:rPr>
          <w:rFonts w:hint="default" w:ascii="Tahoma" w:hAnsi="Tahoma" w:eastAsia="Times New Roman" w:cs="Tahoma"/>
          <w:color w:val="222222"/>
          <w:sz w:val="24"/>
          <w:szCs w:val="24"/>
          <w:lang w:val="en-US" w:eastAsia="ro-RO"/>
        </w:rPr>
        <w:t xml:space="preserve">- </w:t>
      </w:r>
      <w:r>
        <w:rPr>
          <w:rFonts w:hint="default" w:ascii="Tahoma" w:hAnsi="Tahoma" w:eastAsia="Calibri" w:cs="Tahoma"/>
          <w:sz w:val="24"/>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22</w:t>
      </w:r>
      <w:r>
        <w:rPr>
          <w:rFonts w:hint="default" w:ascii="Tahoma" w:hAnsi="Tahoma" w:cs="Tahoma"/>
          <w:sz w:val="24"/>
          <w:szCs w:val="24"/>
          <w:lang w:val="ro-RO"/>
        </w:rPr>
        <w:t>7</w:t>
      </w:r>
      <w:r>
        <w:rPr>
          <w:rFonts w:hint="default" w:ascii="Tahoma" w:hAnsi="Tahoma" w:cs="Tahoma"/>
          <w:sz w:val="24"/>
          <w:szCs w:val="24"/>
          <w:lang w:val="en-US"/>
        </w:rPr>
        <w:t xml:space="preserve">9 </w:t>
      </w:r>
      <w:r>
        <w:rPr>
          <w:rFonts w:hint="default" w:ascii="Tahoma" w:hAnsi="Tahoma" w:cs="Tahoma"/>
          <w:sz w:val="24"/>
          <w:szCs w:val="24"/>
        </w:rPr>
        <w:t xml:space="preserve">din  </w:t>
      </w:r>
      <w:r>
        <w:rPr>
          <w:rFonts w:hint="default" w:ascii="Tahoma" w:hAnsi="Tahoma" w:cs="Tahoma"/>
          <w:sz w:val="24"/>
          <w:szCs w:val="24"/>
          <w:lang w:val="en-US"/>
        </w:rPr>
        <w:t>24.06.</w:t>
      </w:r>
      <w:r>
        <w:rPr>
          <w:rFonts w:hint="default" w:ascii="Tahoma" w:hAnsi="Tahoma" w:cs="Tahoma"/>
          <w:sz w:val="24"/>
          <w:szCs w:val="24"/>
        </w:rPr>
        <w:t>202</w:t>
      </w:r>
      <w:r>
        <w:rPr>
          <w:rFonts w:hint="default" w:ascii="Tahoma" w:hAnsi="Tahoma" w:cs="Tahoma"/>
          <w:sz w:val="24"/>
          <w:szCs w:val="24"/>
          <w:lang w:val="en-US"/>
        </w:rPr>
        <w:t xml:space="preserve">5  </w:t>
      </w:r>
      <w:r>
        <w:rPr>
          <w:rFonts w:hint="default" w:ascii="Tahoma" w:hAnsi="Tahoma" w:eastAsia="SimSun" w:cs="Tahoma"/>
          <w:bCs/>
          <w:color w:val="000000"/>
          <w:sz w:val="24"/>
          <w:szCs w:val="24"/>
          <w:lang w:val="ro-RO" w:eastAsia="ar-SA" w:bidi="ar-SA"/>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 xml:space="preserve">de agricultura, amenajarea teritoriului,   </w:t>
      </w:r>
    </w:p>
    <w:p w14:paraId="66665C68">
      <w:pPr>
        <w:pStyle w:val="37"/>
        <w:jc w:val="both"/>
        <w:rPr>
          <w:rFonts w:hint="default" w:ascii="Tahoma" w:hAnsi="Tahoma" w:cs="Tahoma"/>
          <w:b/>
          <w:bCs/>
          <w:sz w:val="24"/>
          <w:szCs w:val="24"/>
          <w:lang w:val="en-US"/>
        </w:rPr>
      </w:pPr>
      <w:r>
        <w:rPr>
          <w:rFonts w:hint="default" w:ascii="Tahoma" w:hAnsi="Tahoma" w:cs="Tahoma"/>
          <w:b/>
          <w:bCs/>
          <w:sz w:val="24"/>
          <w:szCs w:val="24"/>
          <w:lang w:val="en-US"/>
        </w:rPr>
        <w:t>În conformitate cu :</w:t>
      </w:r>
    </w:p>
    <w:p w14:paraId="7FF3F099">
      <w:pPr>
        <w:pStyle w:val="37"/>
        <w:numPr>
          <w:ilvl w:val="0"/>
          <w:numId w:val="1"/>
        </w:numPr>
        <w:jc w:val="both"/>
        <w:rPr>
          <w:rFonts w:hint="default" w:ascii="Tahoma" w:hAnsi="Tahoma" w:cs="Tahoma"/>
          <w:sz w:val="24"/>
          <w:szCs w:val="24"/>
          <w:lang w:val="en-US"/>
        </w:rPr>
      </w:pPr>
      <w:r>
        <w:rPr>
          <w:rFonts w:hint="default" w:ascii="Tahoma" w:hAnsi="Tahoma" w:cs="Tahoma"/>
          <w:sz w:val="24"/>
          <w:szCs w:val="24"/>
          <w:lang w:val="en-US"/>
        </w:rPr>
        <w:t>Dispozițiile art.27 alin.(1) și (3) din Legea nr.51 / 2006 a serviciilor comunitare de utilități publice, republicată, cu modificările și completările ulterioare,</w:t>
      </w:r>
    </w:p>
    <w:p w14:paraId="4C621039">
      <w:pPr>
        <w:pStyle w:val="37"/>
        <w:numPr>
          <w:ilvl w:val="0"/>
          <w:numId w:val="1"/>
        </w:numPr>
        <w:jc w:val="both"/>
        <w:rPr>
          <w:rFonts w:hint="default" w:ascii="Tahoma" w:hAnsi="Tahoma" w:cs="Tahoma"/>
          <w:sz w:val="24"/>
          <w:szCs w:val="24"/>
          <w:lang w:val="es-ES"/>
        </w:rPr>
      </w:pPr>
      <w:r>
        <w:rPr>
          <w:rFonts w:hint="default" w:ascii="Tahoma" w:hAnsi="Tahoma" w:cs="Tahoma"/>
          <w:sz w:val="24"/>
          <w:szCs w:val="24"/>
          <w:lang w:val="es-ES"/>
        </w:rPr>
        <w:t>Prevederile art.3 din Ordonanța de Urgență a Guvernului nr.109/2011 cu modificările și completările ulterioare,</w:t>
      </w:r>
    </w:p>
    <w:p w14:paraId="6915313F">
      <w:pPr>
        <w:pStyle w:val="37"/>
        <w:numPr>
          <w:ilvl w:val="0"/>
          <w:numId w:val="1"/>
        </w:numPr>
        <w:jc w:val="both"/>
        <w:rPr>
          <w:rFonts w:hint="default" w:ascii="Tahoma" w:hAnsi="Tahoma" w:cs="Tahoma"/>
          <w:sz w:val="24"/>
          <w:szCs w:val="24"/>
          <w:lang w:val="en-US"/>
        </w:rPr>
      </w:pPr>
      <w:r>
        <w:rPr>
          <w:rFonts w:hint="default" w:ascii="Tahoma" w:hAnsi="Tahoma" w:cs="Tahoma"/>
          <w:sz w:val="24"/>
          <w:szCs w:val="24"/>
          <w:lang w:val="es-ES"/>
        </w:rPr>
        <w:t xml:space="preserve">Prevederile art.10 alin.(5) din Legea  nr.51 / 2006 a serviciilor comunitare de utilități publice, republicată, cu modificările și completările ulterioare, ce stipuleaza faptul că ,, Exercitarea atribuțiilor, drepturilor și obligațiilor prevăzute la art.8 alin. </w:t>
      </w:r>
      <w:r>
        <w:rPr>
          <w:rFonts w:hint="default" w:ascii="Tahoma" w:hAnsi="Tahoma" w:cs="Tahoma"/>
          <w:sz w:val="24"/>
          <w:szCs w:val="24"/>
          <w:lang w:val="en-US"/>
        </w:rPr>
        <w:t>(3) lit.a), d^1, d^2, i) – k), art.9 alin. (2) lit.g), art.27, art.29 alin.(2), art.30 alin.(5) și art.32 alin.(4) este conditionată de primirea în prealabil a unui mandat special din partea autorităților deliberative ale unitaților administrativ – teritoriale membre ale asociației. ’’</w:t>
      </w:r>
    </w:p>
    <w:p w14:paraId="6D0F3638">
      <w:pPr>
        <w:pStyle w:val="37"/>
        <w:jc w:val="both"/>
        <w:rPr>
          <w:rFonts w:hint="default" w:ascii="Tahoma" w:hAnsi="Tahoma" w:cs="Tahoma"/>
          <w:sz w:val="16"/>
          <w:szCs w:val="16"/>
          <w:lang w:val="en-US"/>
        </w:rPr>
      </w:pPr>
    </w:p>
    <w:p w14:paraId="7B9FF79A">
      <w:pPr>
        <w:pStyle w:val="37"/>
        <w:jc w:val="both"/>
        <w:rPr>
          <w:rFonts w:hint="default" w:ascii="Tahoma" w:hAnsi="Tahoma" w:cs="Tahoma"/>
          <w:sz w:val="24"/>
          <w:szCs w:val="24"/>
          <w:lang w:val="en-US"/>
        </w:rPr>
      </w:pPr>
      <w:r>
        <w:rPr>
          <w:rFonts w:hint="default" w:ascii="Tahoma" w:hAnsi="Tahoma" w:cs="Tahoma"/>
          <w:sz w:val="24"/>
          <w:szCs w:val="24"/>
          <w:lang w:val="en-US"/>
        </w:rPr>
        <w:t>În temeiul art.196, alin.(1) lit.a) din Ordonanța de urgența a Guvernului nr. 57/2019 privind Codul administrativ, cu modificările și completările ulterioare.</w:t>
      </w:r>
    </w:p>
    <w:p w14:paraId="6E2D3F41">
      <w:pPr>
        <w:pStyle w:val="37"/>
        <w:ind w:firstLine="360"/>
        <w:jc w:val="both"/>
        <w:rPr>
          <w:rFonts w:hint="default" w:ascii="Tahoma" w:hAnsi="Tahoma" w:cs="Tahoma"/>
          <w:sz w:val="24"/>
          <w:szCs w:val="24"/>
          <w:lang w:val="en-US"/>
        </w:rPr>
      </w:pPr>
    </w:p>
    <w:p w14:paraId="42EAD97D">
      <w:pPr>
        <w:pStyle w:val="37"/>
        <w:jc w:val="center"/>
        <w:rPr>
          <w:rFonts w:hint="default" w:ascii="Tahoma" w:hAnsi="Tahoma" w:cs="Tahoma"/>
          <w:b/>
          <w:bCs/>
          <w:sz w:val="28"/>
          <w:szCs w:val="28"/>
          <w:lang w:val="en-US"/>
        </w:rPr>
      </w:pPr>
      <w:r>
        <w:rPr>
          <w:rFonts w:hint="default" w:ascii="Tahoma" w:hAnsi="Tahoma" w:cs="Tahoma"/>
          <w:b/>
          <w:bCs/>
          <w:sz w:val="28"/>
          <w:szCs w:val="28"/>
          <w:lang w:val="en-US"/>
        </w:rPr>
        <w:t>HOTĂRĂȘTE</w:t>
      </w:r>
    </w:p>
    <w:p w14:paraId="46A664B4">
      <w:pPr>
        <w:pStyle w:val="37"/>
        <w:rPr>
          <w:rFonts w:hint="default" w:ascii="Tahoma" w:hAnsi="Tahoma" w:cs="Tahoma"/>
          <w:sz w:val="16"/>
          <w:szCs w:val="16"/>
          <w:lang w:val="en-US"/>
        </w:rPr>
      </w:pPr>
    </w:p>
    <w:p w14:paraId="33027F00">
      <w:pPr>
        <w:pStyle w:val="37"/>
        <w:ind w:firstLine="708"/>
        <w:jc w:val="both"/>
        <w:rPr>
          <w:rFonts w:hint="default" w:ascii="Tahoma" w:hAnsi="Tahoma" w:cs="Tahoma"/>
          <w:sz w:val="24"/>
          <w:szCs w:val="24"/>
          <w:lang w:val="es-ES"/>
        </w:rPr>
      </w:pPr>
      <w:r>
        <w:rPr>
          <w:rFonts w:hint="default" w:ascii="Tahoma" w:hAnsi="Tahoma" w:cs="Tahoma"/>
          <w:b/>
          <w:bCs/>
          <w:sz w:val="24"/>
          <w:szCs w:val="24"/>
          <w:lang w:val="en-US"/>
        </w:rPr>
        <w:t xml:space="preserve">Art.1. </w:t>
      </w:r>
      <w:r>
        <w:rPr>
          <w:rFonts w:hint="default" w:ascii="Tahoma" w:hAnsi="Tahoma" w:cs="Tahoma"/>
          <w:sz w:val="24"/>
          <w:szCs w:val="24"/>
          <w:lang w:val="en-US"/>
        </w:rPr>
        <w:t xml:space="preserve">Se acordă un mandat special domnului Vasile Adrian, având funcția de Primar al c om. Andrasesti, reprezentant de drept al </w:t>
      </w:r>
      <w:bookmarkStart w:id="1" w:name="_Hlk199936825"/>
      <w:r>
        <w:rPr>
          <w:rFonts w:hint="default" w:ascii="Tahoma" w:hAnsi="Tahoma" w:cs="Tahoma"/>
          <w:sz w:val="24"/>
          <w:szCs w:val="24"/>
          <w:lang w:val="en-US"/>
        </w:rPr>
        <w:t>U.A.T. Andrasesti</w:t>
      </w:r>
      <w:bookmarkEnd w:id="1"/>
      <w:r>
        <w:rPr>
          <w:rFonts w:hint="default" w:ascii="Tahoma" w:hAnsi="Tahoma" w:cs="Tahoma"/>
          <w:sz w:val="24"/>
          <w:szCs w:val="24"/>
          <w:lang w:val="en-US"/>
        </w:rPr>
        <w:t xml:space="preserve"> în Adunarea Generală a Asociației de Dezvoltare Intercomunitară ECOO 2009 să voteze ,,pentru’’</w:t>
      </w:r>
      <w:r>
        <w:rPr>
          <w:rFonts w:hint="default" w:ascii="Tahoma" w:hAnsi="Tahoma" w:cs="Tahoma"/>
          <w:sz w:val="24"/>
          <w:szCs w:val="24"/>
        </w:rPr>
        <w:t xml:space="preserve"> exercitarea în numele și pe seama </w:t>
      </w:r>
      <w:r>
        <w:rPr>
          <w:rFonts w:hint="default" w:ascii="Tahoma" w:hAnsi="Tahoma" w:cs="Tahoma"/>
          <w:sz w:val="24"/>
          <w:szCs w:val="24"/>
          <w:lang w:val="en-US"/>
        </w:rPr>
        <w:t>U.A.T. Andrasesti</w:t>
      </w:r>
      <w:r>
        <w:rPr>
          <w:rFonts w:hint="default" w:ascii="Tahoma" w:hAnsi="Tahoma" w:cs="Tahoma"/>
          <w:sz w:val="24"/>
          <w:szCs w:val="24"/>
        </w:rPr>
        <w:t xml:space="preserve"> a calității și atribuțiilor de autoritate publică tutelară a Asociației de Dezvoltare Intercomunitară ECOO 2009, în raport cu operatorul regional S.C. ADI ECOO 2009 S.A</w:t>
      </w:r>
      <w:r>
        <w:rPr>
          <w:rFonts w:hint="default" w:ascii="Tahoma" w:hAnsi="Tahoma" w:cs="Tahoma"/>
          <w:sz w:val="24"/>
          <w:szCs w:val="24"/>
          <w:lang w:val="en-US"/>
        </w:rPr>
        <w:t xml:space="preserve">., cu sediul în str. Vasile Alecsandri, nr. 14, Municipiul Slobozia, județ Ialomița, identificată prin C.F.: </w:t>
      </w:r>
      <w:r>
        <w:rPr>
          <w:rFonts w:hint="default" w:ascii="Tahoma" w:hAnsi="Tahoma" w:cs="Tahoma"/>
          <w:color w:val="000000"/>
          <w:sz w:val="24"/>
          <w:szCs w:val="24"/>
        </w:rPr>
        <w:t>RO 28213025 și înregistrat la Registrul Comerțului sub nr. J21/112/2011,</w:t>
      </w:r>
      <w:r>
        <w:rPr>
          <w:rFonts w:hint="default" w:ascii="Tahoma" w:hAnsi="Tahoma" w:cs="Tahoma"/>
          <w:sz w:val="24"/>
          <w:szCs w:val="24"/>
          <w:lang w:val="en-US"/>
        </w:rPr>
        <w:t xml:space="preserve"> conform art.27 alin. </w:t>
      </w:r>
      <w:r>
        <w:rPr>
          <w:rFonts w:hint="default" w:ascii="Tahoma" w:hAnsi="Tahoma" w:cs="Tahoma"/>
          <w:sz w:val="24"/>
          <w:szCs w:val="24"/>
          <w:lang w:val="es-ES"/>
        </w:rPr>
        <w:t>(3) din Legea nr. 51/2006 a serviciilor comunitare de utilități publice, republicată, cu modificările și completările ulterioare.</w:t>
      </w:r>
    </w:p>
    <w:p w14:paraId="04A1AC42">
      <w:pPr>
        <w:pStyle w:val="37"/>
        <w:ind w:firstLine="708"/>
        <w:jc w:val="both"/>
        <w:rPr>
          <w:rFonts w:hint="default" w:ascii="Tahoma" w:hAnsi="Tahoma" w:cs="Tahoma"/>
          <w:sz w:val="24"/>
          <w:szCs w:val="24"/>
          <w:lang w:val="es-ES"/>
        </w:rPr>
      </w:pPr>
    </w:p>
    <w:p w14:paraId="190712FB">
      <w:pPr>
        <w:pStyle w:val="37"/>
        <w:ind w:firstLine="708"/>
        <w:jc w:val="both"/>
        <w:rPr>
          <w:rFonts w:hint="default" w:ascii="Tahoma" w:hAnsi="Tahoma" w:cs="Tahoma"/>
          <w:sz w:val="24"/>
          <w:szCs w:val="24"/>
          <w:lang w:val="en-US"/>
        </w:rPr>
      </w:pPr>
      <w:r>
        <w:rPr>
          <w:rFonts w:hint="default" w:ascii="Tahoma" w:hAnsi="Tahoma" w:cs="Tahoma"/>
          <w:b/>
          <w:bCs/>
          <w:sz w:val="24"/>
          <w:szCs w:val="24"/>
          <w:lang w:val="en-US"/>
        </w:rPr>
        <w:t>Art.2.</w:t>
      </w:r>
      <w:r>
        <w:rPr>
          <w:rFonts w:hint="default" w:ascii="Tahoma" w:hAnsi="Tahoma" w:cs="Tahoma"/>
          <w:sz w:val="24"/>
          <w:szCs w:val="24"/>
          <w:lang w:val="en-US"/>
        </w:rPr>
        <w:t xml:space="preserve"> În baza mandatului acordat, conform art.1 din prezenta hotărâre Asociația de Dezvoltare Intercomunitară ECOO 2009, exercită atribuțiile de autoritate publică tutelară prevăzute de art. 3 alin. (1) din </w:t>
      </w:r>
      <w:bookmarkStart w:id="2" w:name="_Hlk180677137"/>
      <w:r>
        <w:rPr>
          <w:rFonts w:hint="default" w:ascii="Tahoma" w:hAnsi="Tahoma" w:cs="Tahoma"/>
          <w:sz w:val="24"/>
          <w:szCs w:val="24"/>
          <w:lang w:val="en-US"/>
        </w:rPr>
        <w:t xml:space="preserve">Ordonanța de Urgență a Guvernului nr. 109/2011 privind guvernanța corporativă cu modificările și completările ulterioare, </w:t>
      </w:r>
      <w:bookmarkEnd w:id="2"/>
      <w:r>
        <w:rPr>
          <w:rFonts w:hint="default" w:ascii="Tahoma" w:hAnsi="Tahoma" w:cs="Tahoma"/>
          <w:sz w:val="24"/>
          <w:szCs w:val="24"/>
          <w:lang w:val="en-US"/>
        </w:rPr>
        <w:t>în numele si pe seama Comunei Andrasesti pentru operatorul regional S.C. ADI ECOO 2009 S.A., operator căruia i s–a delegat gestiunea serviciului public de salubrizare a deșeurilor municipale din județul Ialomița prin Contractul de delegare a gestiunii serviciului de salubrizare a deșeurilor municipale din județul Ialomița nr.14/10.03.2022, după cum urmează:</w:t>
      </w:r>
    </w:p>
    <w:p w14:paraId="3F6FE0CE">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a)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stabilirea de obiective pe termen lung, care acoperă o perioadă de cel puţin 4 ani, şi includerea acestora în scrisorile de aşteptări, care vor fi publicate pe pagina de internet proprie, precum şi transmiterea documentaţiei relevante către AMEPIP în termenele stabilite în prezenta ordonanţă de urgenţă şi în legislaţia secundară;</w:t>
      </w:r>
    </w:p>
    <w:p w14:paraId="42100C76">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b)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notificarea AMEPIP cu privire la necesitatea declanşării procedurii de selecţie şi numire a administratorilor şi directorilor, precum şi a revocării acestora;</w:t>
      </w:r>
    </w:p>
    <w:p w14:paraId="7CBAEB99">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c)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organizarea procedurii de selecţie, selectarea şi nominalizarea candidaţilor pentru funcţiile de administrator al întreprinderii publice; transmiterea rapoartelor către AMEPIP în termen de 3 zile de la finalizarea procedurii;</w:t>
      </w:r>
    </w:p>
    <w:p w14:paraId="29ED3988">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d)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negocierea indicatorilor-cheie de performanţă ai administratorilor, transmiterea acestora către AMEPIP pentru avizare din punct de vedere al încadrării în nivelul minim şi aprobarea lor de către adunarea generală a acţionarilor;</w:t>
      </w:r>
    </w:p>
    <w:p w14:paraId="0CC4CE15">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e)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încheierea contractelor de mandat cu administratorii întreprinderii publice, direct sau prin adunarea generală a acţionarilor/asociaţilor, după caz, şi transmiterea acestora către AMEPIP;</w:t>
      </w:r>
    </w:p>
    <w:p w14:paraId="7522AD87">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f)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adoptarea deciziilor privind înstrăinarea participaţiilor la întreprinderile publice aflate sub controlul său direct sau indirect, precum şi listarea pe pieţele reglementate, cu informarea prealabilă a Guvernului;</w:t>
      </w:r>
    </w:p>
    <w:p w14:paraId="4E681332">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g)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adoptarea deciziilor privind achiziţia de participaţii la alte întreprinderi, direct sau de către întreprinderile publice aflate sub controlul său direct sau indirect, cu informarea prealabilă a Guvernului;</w:t>
      </w:r>
    </w:p>
    <w:p w14:paraId="09B54873">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h)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monitorizarea şi evaluarea îndeplinirii indicatorilor-cheie de performanţă incluşi în contractele de mandat şi transmiterea acestor informaţii către AMEPIP;</w:t>
      </w:r>
    </w:p>
    <w:p w14:paraId="0AA90ABE">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i)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întocmirea şi publicarea listei administratorilor şi directorilor aflaţi în funcţie în întreprinderile publice aflate sub controlul autorităţii publice tutelare şi comunicarea acesteia către AMEPIP;</w:t>
      </w:r>
    </w:p>
    <w:p w14:paraId="120DDFE3">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j)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aplicarea criteriilor de integritate pentru administratorii şi directorii întreprinderilor publice aflate sub controlul său direct sau indirect;</w:t>
      </w:r>
    </w:p>
    <w:p w14:paraId="3952B82B">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r>
        <w:rPr>
          <w:rStyle w:val="38"/>
          <w:rFonts w:hint="default" w:ascii="Tahoma" w:hAnsi="Tahoma" w:cs="Tahoma"/>
          <w:color w:val="0D0D0D" w:themeColor="text1" w:themeTint="F2"/>
          <w:sz w:val="24"/>
          <w:szCs w:val="24"/>
          <w14:textFill>
            <w14:solidFill>
              <w14:schemeClr w14:val="tx1">
                <w14:lumMod w14:val="95000"/>
                <w14:lumOff w14:val="5000"/>
              </w14:schemeClr>
            </w14:solidFill>
          </w14:textFill>
        </w:rPr>
        <w:t xml:space="preserve">k) </w:t>
      </w:r>
      <w:r>
        <w:rPr>
          <w:rFonts w:hint="default" w:ascii="Tahoma" w:hAnsi="Tahoma" w:cs="Tahoma"/>
          <w:color w:val="0D0D0D" w:themeColor="text1" w:themeTint="F2"/>
          <w:sz w:val="24"/>
          <w:szCs w:val="24"/>
          <w14:textFill>
            <w14:solidFill>
              <w14:schemeClr w14:val="tx1">
                <w14:lumMod w14:val="95000"/>
                <w14:lumOff w14:val="5000"/>
              </w14:schemeClr>
            </w14:solidFill>
          </w14:textFill>
        </w:rPr>
        <w:t>orice alte atribuţii stabilite prin prezenta ordonanţă de urgenţă, prin legi speciale şi prin legislaţia secundară.</w:t>
      </w:r>
    </w:p>
    <w:p w14:paraId="4318DD21">
      <w:pPr>
        <w:pStyle w:val="37"/>
        <w:jc w:val="both"/>
        <w:rPr>
          <w:rFonts w:hint="default" w:ascii="Tahoma" w:hAnsi="Tahoma" w:cs="Tahoma"/>
          <w:color w:val="0D0D0D" w:themeColor="text1" w:themeTint="F2"/>
          <w:sz w:val="24"/>
          <w:szCs w:val="24"/>
          <w14:textFill>
            <w14:solidFill>
              <w14:schemeClr w14:val="tx1">
                <w14:lumMod w14:val="95000"/>
                <w14:lumOff w14:val="5000"/>
              </w14:schemeClr>
            </w14:solidFill>
          </w14:textFill>
        </w:rPr>
      </w:pPr>
    </w:p>
    <w:p w14:paraId="0761B7CF">
      <w:pPr>
        <w:pStyle w:val="37"/>
        <w:ind w:firstLine="708"/>
        <w:jc w:val="both"/>
        <w:rPr>
          <w:rFonts w:hint="default" w:ascii="Tahoma" w:hAnsi="Tahoma" w:cs="Tahoma"/>
          <w:sz w:val="24"/>
          <w:szCs w:val="24"/>
        </w:rPr>
      </w:pPr>
      <w:r>
        <w:rPr>
          <w:rFonts w:hint="default" w:ascii="Tahoma" w:hAnsi="Tahoma" w:cs="Tahoma"/>
          <w:b/>
          <w:bCs/>
          <w:sz w:val="24"/>
          <w:szCs w:val="24"/>
        </w:rPr>
        <w:t>Art.3.</w:t>
      </w:r>
      <w:r>
        <w:rPr>
          <w:rFonts w:hint="default" w:ascii="Tahoma" w:hAnsi="Tahoma" w:cs="Tahoma"/>
          <w:sz w:val="24"/>
          <w:szCs w:val="24"/>
        </w:rPr>
        <w:t xml:space="preserve"> Prezenta hotărâre se comunică Primarului Comunei </w:t>
      </w:r>
      <w:r>
        <w:rPr>
          <w:rFonts w:hint="default" w:ascii="Tahoma" w:hAnsi="Tahoma" w:cs="Tahoma"/>
          <w:sz w:val="24"/>
          <w:szCs w:val="24"/>
          <w:lang w:val="en-US"/>
        </w:rPr>
        <w:t>Andrasesti</w:t>
      </w:r>
      <w:r>
        <w:rPr>
          <w:rFonts w:hint="default" w:ascii="Tahoma" w:hAnsi="Tahoma" w:cs="Tahoma"/>
          <w:sz w:val="24"/>
          <w:szCs w:val="24"/>
        </w:rPr>
        <w:t xml:space="preserve">, </w:t>
      </w:r>
      <w:bookmarkStart w:id="3" w:name="_Hlk180677026"/>
      <w:r>
        <w:rPr>
          <w:rFonts w:hint="default" w:ascii="Tahoma" w:hAnsi="Tahoma" w:cs="Tahoma"/>
          <w:sz w:val="24"/>
          <w:szCs w:val="24"/>
        </w:rPr>
        <w:t>Asociației de Dezvoltare Intercomunitară ECOO 2009</w:t>
      </w:r>
      <w:bookmarkEnd w:id="3"/>
      <w:r>
        <w:rPr>
          <w:rFonts w:hint="default" w:ascii="Tahoma" w:hAnsi="Tahoma" w:cs="Tahoma"/>
          <w:sz w:val="24"/>
          <w:szCs w:val="24"/>
        </w:rPr>
        <w:t>, Instituției Prefectului județului Ialomița.</w:t>
      </w:r>
    </w:p>
    <w:p w14:paraId="01FB0B9E">
      <w:pPr>
        <w:pStyle w:val="37"/>
        <w:jc w:val="both"/>
        <w:rPr>
          <w:rFonts w:hint="default" w:ascii="Tahoma" w:hAnsi="Tahoma" w:cs="Tahoma"/>
          <w:sz w:val="24"/>
          <w:szCs w:val="24"/>
        </w:rPr>
      </w:pPr>
    </w:p>
    <w:p w14:paraId="4AD53CBE">
      <w:pPr>
        <w:pStyle w:val="37"/>
        <w:ind w:firstLine="706"/>
        <w:jc w:val="both"/>
        <w:rPr>
          <w:rFonts w:ascii="Times New Roman" w:hAnsi="Times New Roman" w:cs="Times New Roman"/>
          <w:sz w:val="24"/>
          <w:szCs w:val="24"/>
          <w:lang w:val="es-ES"/>
        </w:rPr>
      </w:pPr>
      <w:r>
        <w:rPr>
          <w:rFonts w:hint="default" w:ascii="Tahoma" w:hAnsi="Tahoma" w:cs="Tahoma"/>
          <w:b/>
          <w:bCs/>
          <w:sz w:val="24"/>
          <w:szCs w:val="24"/>
          <w:lang w:val="es-ES"/>
        </w:rPr>
        <w:t xml:space="preserve">Art.4. </w:t>
      </w:r>
      <w:r>
        <w:rPr>
          <w:rFonts w:hint="default" w:ascii="Tahoma" w:hAnsi="Tahoma" w:cs="Tahoma"/>
          <w:sz w:val="24"/>
          <w:szCs w:val="24"/>
          <w:lang w:val="es-ES"/>
        </w:rPr>
        <w:t>Cu ducerea la îndeplinire a prezentei hotărâri se încredințează Asociației de Dezvoltare Intercomunitară ECOO 2009.</w:t>
      </w:r>
    </w:p>
    <w:p w14:paraId="718815DE">
      <w:pPr>
        <w:pStyle w:val="37"/>
        <w:jc w:val="both"/>
        <w:rPr>
          <w:rFonts w:ascii="Times New Roman" w:hAnsi="Times New Roman" w:cs="Times New Roman"/>
          <w:sz w:val="24"/>
          <w:szCs w:val="24"/>
          <w:lang w:val="es-ES"/>
        </w:rPr>
      </w:pPr>
    </w:p>
    <w:p w14:paraId="4770981F">
      <w:pPr>
        <w:widowControl/>
        <w:suppressAutoHyphens w:val="0"/>
        <w:spacing w:after="200" w:line="276" w:lineRule="auto"/>
        <w:ind w:firstLine="708"/>
        <w:jc w:val="both"/>
        <w:rPr>
          <w:rFonts w:ascii="Tahoma" w:hAnsi="Tahoma" w:cs="Tahoma" w:eastAsiaTheme="minorHAnsi"/>
          <w:b/>
          <w:sz w:val="22"/>
          <w:szCs w:val="22"/>
          <w:lang w:val="ro-RO" w:eastAsia="en-US" w:bidi="ar-SA"/>
        </w:rPr>
      </w:pPr>
      <w:r>
        <w:rPr>
          <w:rFonts w:ascii="Tahoma" w:hAnsi="Tahoma" w:cs="Tahoma" w:eastAsiaTheme="minorHAnsi"/>
          <w:b/>
          <w:sz w:val="22"/>
          <w:szCs w:val="22"/>
          <w:lang w:val="ro-RO" w:eastAsia="en-US" w:bidi="ar-SA"/>
        </w:rPr>
        <w:t>PREŞEDINTE DE ŞEDINŢĂ,                          Contrasemneaza,</w:t>
      </w:r>
    </w:p>
    <w:p w14:paraId="185179B9">
      <w:pPr>
        <w:widowControl/>
        <w:suppressAutoHyphens w:val="0"/>
        <w:spacing w:after="200" w:line="276" w:lineRule="auto"/>
        <w:jc w:val="both"/>
        <w:rPr>
          <w:rFonts w:ascii="Tahoma" w:hAnsi="Tahoma" w:cs="Tahoma" w:eastAsiaTheme="minorHAnsi"/>
          <w:b/>
          <w:sz w:val="22"/>
          <w:szCs w:val="22"/>
          <w:lang w:val="ro-RO" w:eastAsia="en-US" w:bidi="ar-SA"/>
        </w:rPr>
      </w:pPr>
      <w:r>
        <w:rPr>
          <w:rFonts w:ascii="Tahoma" w:hAnsi="Tahoma" w:cs="Tahoma" w:eastAsiaTheme="minorHAnsi"/>
          <w:b/>
          <w:sz w:val="22"/>
          <w:szCs w:val="22"/>
          <w:lang w:val="ro-RO" w:eastAsia="en-US" w:bidi="ar-SA"/>
        </w:rPr>
        <w:t xml:space="preserve">       </w:t>
      </w:r>
      <w:r>
        <w:rPr>
          <w:rFonts w:ascii="Tahoma" w:hAnsi="Tahoma" w:cs="Tahoma" w:eastAsiaTheme="minorHAnsi"/>
          <w:b/>
          <w:sz w:val="22"/>
          <w:szCs w:val="22"/>
          <w:lang w:val="ro-RO" w:eastAsia="en-US" w:bidi="ar-SA"/>
        </w:rPr>
        <w:tab/>
      </w:r>
      <w:r>
        <w:rPr>
          <w:rFonts w:hint="default" w:ascii="Tahoma" w:hAnsi="Tahoma" w:cs="Tahoma" w:eastAsiaTheme="minorHAnsi"/>
          <w:b/>
          <w:sz w:val="22"/>
          <w:szCs w:val="22"/>
          <w:lang w:val="en-US" w:eastAsia="en-US" w:bidi="ar-SA"/>
        </w:rPr>
        <w:t>U</w:t>
      </w:r>
      <w:r>
        <w:rPr>
          <w:rFonts w:hint="default" w:ascii="Tahoma" w:hAnsi="Tahoma" w:cs="Tahoma" w:eastAsiaTheme="minorHAnsi"/>
          <w:b/>
          <w:sz w:val="22"/>
          <w:szCs w:val="22"/>
          <w:lang w:val="ro-RO" w:eastAsia="en-US" w:bidi="ar-SA"/>
        </w:rPr>
        <w:t>ȘURELU IONEL</w:t>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Secretar General al UAT ANDRASESTI,</w:t>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Basturea Florin</w:t>
      </w:r>
    </w:p>
    <w:p w14:paraId="37236DFC">
      <w:pPr>
        <w:jc w:val="both"/>
        <w:rPr>
          <w:b/>
        </w:rPr>
      </w:pPr>
      <w:r>
        <w:rPr>
          <w:rFonts w:hint="default"/>
          <w:b/>
          <w:lang w:val="en-US"/>
        </w:rPr>
        <w:t xml:space="preserve">Adoptata </w:t>
      </w:r>
      <w:r>
        <w:rPr>
          <w:b/>
        </w:rPr>
        <w:t xml:space="preserve"> la </w:t>
      </w:r>
      <w:r>
        <w:rPr>
          <w:rFonts w:hint="default"/>
          <w:b/>
          <w:lang w:val="en-US"/>
        </w:rPr>
        <w:t>Andrasesti</w:t>
      </w:r>
      <w:r>
        <w:rPr>
          <w:b/>
        </w:rPr>
        <w:t>.</w:t>
      </w:r>
    </w:p>
    <w:p w14:paraId="653F1F62">
      <w:pPr>
        <w:jc w:val="both"/>
        <w:rPr>
          <w:b/>
        </w:rPr>
      </w:pPr>
      <w:r>
        <w:rPr>
          <w:b/>
        </w:rPr>
        <w:t xml:space="preserve">Astăzi: </w:t>
      </w:r>
      <w:r>
        <w:rPr>
          <w:rFonts w:hint="default"/>
          <w:b/>
          <w:lang w:val="en-US"/>
        </w:rPr>
        <w:t>30.06.2025</w:t>
      </w:r>
      <w:r>
        <w:rPr>
          <w:b/>
        </w:rPr>
        <w:t>.</w:t>
      </w:r>
    </w:p>
    <w:p w14:paraId="350D7AB0">
      <w:pPr>
        <w:jc w:val="both"/>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ucida Sans">
    <w:panose1 w:val="020B06020305040202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157653"/>
      <w:docPartObj>
        <w:docPartGallery w:val="autotext"/>
      </w:docPartObj>
    </w:sdtPr>
    <w:sdtContent>
      <w:p w14:paraId="70F98B81">
        <w:pPr>
          <w:pStyle w:val="14"/>
          <w:jc w:val="center"/>
        </w:pPr>
        <w:r>
          <w:fldChar w:fldCharType="begin"/>
        </w:r>
        <w:r>
          <w:instrText xml:space="preserve"> PAGE   \* MERGEFORMAT </w:instrText>
        </w:r>
        <w:r>
          <w:fldChar w:fldCharType="separate"/>
        </w:r>
        <w:r>
          <w:t>2</w:t>
        </w:r>
        <w:r>
          <w:fldChar w:fldCharType="end"/>
        </w:r>
        <w:r>
          <w:t xml:space="preserve"> din 2.</w:t>
        </w:r>
      </w:p>
    </w:sdtContent>
  </w:sdt>
  <w:p w14:paraId="249555A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F3639"/>
    <w:multiLevelType w:val="multilevel"/>
    <w:tmpl w:val="22FF3639"/>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C3"/>
    <w:rsid w:val="00092BB8"/>
    <w:rsid w:val="00094C75"/>
    <w:rsid w:val="000A0C98"/>
    <w:rsid w:val="002767C3"/>
    <w:rsid w:val="00294EBB"/>
    <w:rsid w:val="002A453A"/>
    <w:rsid w:val="002F2153"/>
    <w:rsid w:val="003A5D44"/>
    <w:rsid w:val="00401127"/>
    <w:rsid w:val="004D1C67"/>
    <w:rsid w:val="0060289B"/>
    <w:rsid w:val="00827849"/>
    <w:rsid w:val="008D7BED"/>
    <w:rsid w:val="008F3A4B"/>
    <w:rsid w:val="009105FF"/>
    <w:rsid w:val="00A07EA6"/>
    <w:rsid w:val="00A410CB"/>
    <w:rsid w:val="00A43292"/>
    <w:rsid w:val="00AD3D46"/>
    <w:rsid w:val="00DE0D79"/>
    <w:rsid w:val="00E917F6"/>
    <w:rsid w:val="00FD7746"/>
    <w:rsid w:val="0EBE0924"/>
    <w:rsid w:val="258948A5"/>
    <w:rsid w:val="262E410B"/>
    <w:rsid w:val="30295A86"/>
    <w:rsid w:val="3CA50652"/>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ro-RO" w:eastAsia="ro-RO"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0"/>
    <w:pPr>
      <w:spacing w:after="120"/>
    </w:pPr>
  </w:style>
  <w:style w:type="paragraph" w:styleId="14">
    <w:name w:val="footer"/>
    <w:basedOn w:val="1"/>
    <w:link w:val="40"/>
    <w:unhideWhenUsed/>
    <w:qFormat/>
    <w:uiPriority w:val="99"/>
    <w:pPr>
      <w:tabs>
        <w:tab w:val="center" w:pos="4536"/>
        <w:tab w:val="right" w:pos="9072"/>
      </w:tabs>
    </w:pPr>
  </w:style>
  <w:style w:type="paragraph" w:styleId="15">
    <w:name w:val="header"/>
    <w:basedOn w:val="1"/>
    <w:link w:val="39"/>
    <w:unhideWhenUsed/>
    <w:qFormat/>
    <w:uiPriority w:val="99"/>
    <w:pPr>
      <w:tabs>
        <w:tab w:val="center" w:pos="4536"/>
        <w:tab w:val="right" w:pos="9072"/>
      </w:tabs>
    </w:p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Titlu 1 Caracte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Titlu 2 Caracte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Titlu 3 Caracter"/>
    <w:basedOn w:val="11"/>
    <w:link w:val="4"/>
    <w:semiHidden/>
    <w:qFormat/>
    <w:uiPriority w:val="9"/>
    <w:rPr>
      <w:rFonts w:eastAsiaTheme="majorEastAsia" w:cstheme="majorBidi"/>
      <w:color w:val="2F5597" w:themeColor="accent1" w:themeShade="BF"/>
      <w:sz w:val="28"/>
      <w:szCs w:val="28"/>
    </w:rPr>
  </w:style>
  <w:style w:type="character" w:customStyle="1" w:styleId="22">
    <w:name w:val="Titlu 4 Caracter"/>
    <w:basedOn w:val="11"/>
    <w:link w:val="5"/>
    <w:semiHidden/>
    <w:uiPriority w:val="9"/>
    <w:rPr>
      <w:rFonts w:eastAsiaTheme="majorEastAsia" w:cstheme="majorBidi"/>
      <w:i/>
      <w:iCs/>
      <w:color w:val="2F5597" w:themeColor="accent1" w:themeShade="BF"/>
    </w:rPr>
  </w:style>
  <w:style w:type="character" w:customStyle="1" w:styleId="23">
    <w:name w:val="Titlu 5 Caracter"/>
    <w:basedOn w:val="11"/>
    <w:link w:val="6"/>
    <w:semiHidden/>
    <w:qFormat/>
    <w:uiPriority w:val="9"/>
    <w:rPr>
      <w:rFonts w:eastAsiaTheme="majorEastAsia" w:cstheme="majorBidi"/>
      <w:color w:val="2F5597" w:themeColor="accent1" w:themeShade="BF"/>
    </w:rPr>
  </w:style>
  <w:style w:type="character" w:customStyle="1" w:styleId="24">
    <w:name w:val="Titlu 6 Caracte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itlu 7 Caracte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itlu 8 Caracte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itlu 9 Caracte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u Caracte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u Caracte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t Caracte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Citat intens Caracte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styleId="37">
    <w:name w:val="No Spacing"/>
    <w:qFormat/>
    <w:uiPriority w:val="1"/>
    <w:pPr>
      <w:spacing w:after="0" w:line="240" w:lineRule="auto"/>
    </w:pPr>
    <w:rPr>
      <w:rFonts w:asciiTheme="minorHAnsi" w:hAnsiTheme="minorHAnsi" w:eastAsiaTheme="minorHAnsi" w:cstheme="minorBidi"/>
      <w:kern w:val="2"/>
      <w:sz w:val="22"/>
      <w:szCs w:val="22"/>
      <w:lang w:val="ro-RO" w:eastAsia="en-US" w:bidi="ar-SA"/>
      <w14:ligatures w14:val="standardContextual"/>
    </w:rPr>
  </w:style>
  <w:style w:type="character" w:customStyle="1" w:styleId="38">
    <w:name w:val="a_lb"/>
    <w:basedOn w:val="11"/>
    <w:qFormat/>
    <w:uiPriority w:val="0"/>
  </w:style>
  <w:style w:type="character" w:customStyle="1" w:styleId="39">
    <w:name w:val="Antet Caracter"/>
    <w:basedOn w:val="11"/>
    <w:link w:val="15"/>
    <w:uiPriority w:val="99"/>
    <w:rPr>
      <w:rFonts w:ascii="Times New Roman" w:hAnsi="Times New Roman" w:eastAsia="Times New Roman" w:cs="Times New Roman"/>
      <w:kern w:val="0"/>
      <w:sz w:val="24"/>
      <w:szCs w:val="24"/>
      <w:lang w:eastAsia="ro-RO"/>
      <w14:ligatures w14:val="none"/>
    </w:rPr>
  </w:style>
  <w:style w:type="character" w:customStyle="1" w:styleId="40">
    <w:name w:val="Subsol Caracter"/>
    <w:basedOn w:val="11"/>
    <w:link w:val="14"/>
    <w:qFormat/>
    <w:uiPriority w:val="99"/>
    <w:rPr>
      <w:rFonts w:ascii="Times New Roman" w:hAnsi="Times New Roman" w:eastAsia="Times New Roman" w:cs="Times New Roman"/>
      <w:kern w:val="0"/>
      <w:sz w:val="24"/>
      <w:szCs w:val="24"/>
      <w:lang w:eastAsia="ro-RO"/>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945</Words>
  <Characters>5487</Characters>
  <Lines>45</Lines>
  <Paragraphs>12</Paragraphs>
  <TotalTime>6</TotalTime>
  <ScaleCrop>false</ScaleCrop>
  <LinksUpToDate>false</LinksUpToDate>
  <CharactersWithSpaces>6420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2025-06-04T10:28:00Z</dcterms:created>
  <dc:creator>ADI ECOO 2009</dc:creator>
  <cp:lastModifiedBy>Primaria Andrasesti</cp:lastModifiedBy>
  <cp:lastPrinted>2025-06-27T06:47:02Z</cp:lastPrinted>
  <dcterms:modified xsi:type="dcterms:W3CDTF">2025-06-27T06:51:02Z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F002102FE4024DCCB7BD808D6B849FCC_13</vt:lpwstr>
  </property>
</Properties>
</file>