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margin" w:tblpY="313"/>
        <w:tblW w:w="10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577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rebuchet MS" w:hAnsi="Trebuchet MS" w:cs="Arial"/>
                <w:b/>
                <w:kern w:val="3"/>
                <w:sz w:val="24"/>
                <w:szCs w:val="24"/>
              </w:rPr>
            </w:pPr>
            <w:bookmarkStart w:id="14" w:name="_GoBack"/>
            <w:r>
              <w:rPr>
                <w:rFonts w:hint="default" w:ascii="Trebuchet MS" w:hAnsi="Trebuchet MS"/>
                <w:kern w:val="3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021080" cy="1175385"/>
                  <wp:effectExtent l="0" t="0" r="0" b="13335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5A5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2A49CEC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ROMANIA</w:t>
            </w:r>
          </w:p>
          <w:p w14:paraId="6C8EAEC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JUDETUL IALOMITA</w:t>
            </w:r>
          </w:p>
          <w:p w14:paraId="38D456F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CONSILIUL LOCAL AL</w:t>
            </w:r>
          </w:p>
          <w:p w14:paraId="45185A8E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  <w:r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  <w:t>COMUNEI ANDRASESTI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F24F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3A6795D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</w:rPr>
            </w:pPr>
          </w:p>
          <w:p w14:paraId="5256CED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>78</w:t>
            </w:r>
          </w:p>
        </w:tc>
      </w:tr>
      <w:bookmarkEnd w:id="14"/>
    </w:tbl>
    <w:p w14:paraId="4D7552E5">
      <w:pPr>
        <w:jc w:val="center"/>
        <w:rPr>
          <w:rFonts w:hint="default" w:ascii="Tahoma" w:hAnsi="Tahoma" w:cs="Tahoma"/>
          <w:b/>
          <w:sz w:val="32"/>
          <w:szCs w:val="32"/>
        </w:rPr>
      </w:pPr>
      <w:r>
        <w:rPr>
          <w:rFonts w:hint="default" w:ascii="Tahoma" w:hAnsi="Tahoma" w:cs="Tahoma"/>
          <w:b/>
          <w:sz w:val="32"/>
          <w:szCs w:val="32"/>
        </w:rPr>
        <w:t>H</w:t>
      </w:r>
      <w:r>
        <w:rPr>
          <w:rFonts w:hint="default" w:ascii="Tahoma" w:hAnsi="Tahoma" w:cs="Tahoma"/>
          <w:b/>
          <w:sz w:val="32"/>
          <w:szCs w:val="32"/>
          <w:lang w:val="en-US"/>
        </w:rPr>
        <w:t xml:space="preserve"> </w:t>
      </w:r>
      <w:r>
        <w:rPr>
          <w:rFonts w:hint="default" w:ascii="Tahoma" w:hAnsi="Tahoma" w:cs="Tahoma"/>
          <w:b/>
          <w:sz w:val="32"/>
          <w:szCs w:val="32"/>
        </w:rPr>
        <w:t>O</w:t>
      </w:r>
      <w:r>
        <w:rPr>
          <w:rFonts w:hint="default" w:ascii="Tahoma" w:hAnsi="Tahoma" w:cs="Tahoma"/>
          <w:b/>
          <w:sz w:val="32"/>
          <w:szCs w:val="32"/>
          <w:lang w:val="en-US"/>
        </w:rPr>
        <w:t xml:space="preserve"> </w:t>
      </w:r>
      <w:r>
        <w:rPr>
          <w:rFonts w:hint="default" w:ascii="Tahoma" w:hAnsi="Tahoma" w:cs="Tahoma"/>
          <w:b/>
          <w:sz w:val="32"/>
          <w:szCs w:val="32"/>
        </w:rPr>
        <w:t>T</w:t>
      </w:r>
      <w:r>
        <w:rPr>
          <w:rFonts w:hint="default" w:ascii="Tahoma" w:hAnsi="Tahoma" w:cs="Tahoma"/>
          <w:b/>
          <w:sz w:val="32"/>
          <w:szCs w:val="32"/>
          <w:lang w:val="en-US"/>
        </w:rPr>
        <w:t xml:space="preserve"> </w:t>
      </w:r>
      <w:r>
        <w:rPr>
          <w:rFonts w:hint="default" w:ascii="Tahoma" w:hAnsi="Tahoma" w:cs="Tahoma"/>
          <w:b/>
          <w:sz w:val="32"/>
          <w:szCs w:val="32"/>
        </w:rPr>
        <w:t>Ă</w:t>
      </w:r>
      <w:r>
        <w:rPr>
          <w:rFonts w:hint="default" w:ascii="Tahoma" w:hAnsi="Tahoma" w:cs="Tahoma"/>
          <w:b/>
          <w:sz w:val="32"/>
          <w:szCs w:val="32"/>
          <w:lang w:val="en-US"/>
        </w:rPr>
        <w:t xml:space="preserve"> </w:t>
      </w:r>
      <w:r>
        <w:rPr>
          <w:rFonts w:hint="default" w:ascii="Tahoma" w:hAnsi="Tahoma" w:cs="Tahoma"/>
          <w:b/>
          <w:sz w:val="32"/>
          <w:szCs w:val="32"/>
        </w:rPr>
        <w:t>R</w:t>
      </w:r>
      <w:r>
        <w:rPr>
          <w:rFonts w:hint="default" w:ascii="Tahoma" w:hAnsi="Tahoma" w:cs="Tahoma"/>
          <w:b/>
          <w:sz w:val="32"/>
          <w:szCs w:val="32"/>
          <w:lang w:val="en-US"/>
        </w:rPr>
        <w:t xml:space="preserve"> </w:t>
      </w:r>
      <w:r>
        <w:rPr>
          <w:rFonts w:hint="default" w:ascii="Tahoma" w:hAnsi="Tahoma" w:cs="Tahoma"/>
          <w:b/>
          <w:sz w:val="32"/>
          <w:szCs w:val="32"/>
        </w:rPr>
        <w:t>Â</w:t>
      </w:r>
      <w:r>
        <w:rPr>
          <w:rFonts w:hint="default" w:ascii="Tahoma" w:hAnsi="Tahoma" w:cs="Tahoma"/>
          <w:b/>
          <w:sz w:val="32"/>
          <w:szCs w:val="32"/>
          <w:lang w:val="en-US"/>
        </w:rPr>
        <w:t xml:space="preserve"> </w:t>
      </w:r>
      <w:r>
        <w:rPr>
          <w:rFonts w:hint="default" w:ascii="Tahoma" w:hAnsi="Tahoma" w:cs="Tahoma"/>
          <w:b/>
          <w:sz w:val="32"/>
          <w:szCs w:val="32"/>
        </w:rPr>
        <w:t>R</w:t>
      </w:r>
      <w:r>
        <w:rPr>
          <w:rFonts w:hint="default" w:ascii="Tahoma" w:hAnsi="Tahoma" w:cs="Tahoma"/>
          <w:b/>
          <w:sz w:val="32"/>
          <w:szCs w:val="32"/>
          <w:lang w:val="en-US"/>
        </w:rPr>
        <w:t xml:space="preserve"> </w:t>
      </w:r>
      <w:r>
        <w:rPr>
          <w:rFonts w:hint="default" w:ascii="Tahoma" w:hAnsi="Tahoma" w:cs="Tahoma"/>
          <w:b/>
          <w:sz w:val="32"/>
          <w:szCs w:val="32"/>
        </w:rPr>
        <w:t>E</w:t>
      </w:r>
    </w:p>
    <w:p w14:paraId="4A4F6146">
      <w:pPr>
        <w:spacing w:line="276" w:lineRule="auto"/>
        <w:jc w:val="center"/>
        <w:rPr>
          <w:rFonts w:hint="default" w:ascii="Tahoma" w:hAnsi="Tahoma" w:cs="Tahoma"/>
          <w:b/>
          <w:bCs w:val="0"/>
          <w:i/>
          <w:iCs/>
          <w:sz w:val="24"/>
          <w:szCs w:val="24"/>
        </w:rPr>
      </w:pPr>
      <w:bookmarkStart w:id="0" w:name="_Hlk146016172"/>
      <w:r>
        <w:rPr>
          <w:rFonts w:hint="default" w:ascii="Tahoma" w:hAnsi="Tahoma" w:cs="Tahoma"/>
          <w:b/>
          <w:bCs w:val="0"/>
          <w:sz w:val="24"/>
          <w:szCs w:val="24"/>
        </w:rPr>
        <w:t>privind aprobarea transferului dreptului de proprietate a bunurilor mobile achiziționate în cadrul proiectului „</w:t>
      </w:r>
      <w:r>
        <w:rPr>
          <w:rFonts w:hint="default" w:ascii="Tahoma" w:hAnsi="Tahoma" w:cs="Tahoma"/>
          <w:b/>
          <w:bCs w:val="0"/>
          <w:i/>
          <w:iCs/>
          <w:sz w:val="24"/>
          <w:szCs w:val="24"/>
        </w:rPr>
        <w:t>Dotarea cu mobilier, materiale didactice și echipamente digitale a unităților de învățământ preuniversitar din județul Ialomița</w:t>
      </w:r>
      <w:r>
        <w:rPr>
          <w:rFonts w:hint="default" w:ascii="Tahoma" w:hAnsi="Tahoma" w:cs="Tahoma"/>
          <w:b/>
          <w:bCs w:val="0"/>
          <w:sz w:val="24"/>
          <w:szCs w:val="24"/>
        </w:rPr>
        <w:t>”, finanțat în cadrul Planului Național de Redresare și Reziliență</w:t>
      </w:r>
    </w:p>
    <w:bookmarkEnd w:id="0"/>
    <w:p w14:paraId="6253A547">
      <w:pPr>
        <w:spacing w:line="276" w:lineRule="auto"/>
        <w:jc w:val="center"/>
        <w:rPr>
          <w:rFonts w:hint="default" w:ascii="Tahoma" w:hAnsi="Tahoma" w:cs="Tahoma"/>
          <w:b/>
          <w:bCs w:val="0"/>
          <w:sz w:val="24"/>
          <w:szCs w:val="24"/>
        </w:rPr>
      </w:pPr>
    </w:p>
    <w:p w14:paraId="3DF86F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240" w:line="240" w:lineRule="auto"/>
        <w:ind w:firstLine="720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  <w:lang w:val="en-US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Consiliul Local al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 comunei Andrasesti</w:t>
      </w:r>
    </w:p>
    <w:p w14:paraId="7ED5CD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20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Având în vedere:</w:t>
      </w:r>
    </w:p>
    <w:p w14:paraId="6B2F26F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240"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Referatul de aprobare n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r. 4357 din 19.11.2025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al Primarului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comunei Andrasesti</w:t>
      </w:r>
    </w:p>
    <w:p w14:paraId="0AF716D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720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Examinând:</w:t>
      </w:r>
    </w:p>
    <w:p w14:paraId="443518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 xml:space="preserve">Hotărârea </w:t>
      </w:r>
      <w:bookmarkStart w:id="1" w:name="_Hlk145408185"/>
      <w:r>
        <w:rPr>
          <w:rFonts w:hint="default" w:ascii="Tahoma" w:hAnsi="Tahoma" w:cs="Tahoma"/>
          <w:b/>
          <w:bCs w:val="0"/>
          <w:sz w:val="24"/>
          <w:szCs w:val="24"/>
        </w:rPr>
        <w:t xml:space="preserve">Consiliului </w:t>
      </w:r>
      <w:bookmarkEnd w:id="1"/>
      <w:r>
        <w:rPr>
          <w:rFonts w:hint="default" w:ascii="Tahoma" w:hAnsi="Tahoma" w:cs="Tahoma"/>
          <w:b/>
          <w:bCs w:val="0"/>
          <w:sz w:val="24"/>
          <w:szCs w:val="24"/>
        </w:rPr>
        <w:t xml:space="preserve">Local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Andrasesti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nr.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30 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din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28.02.2023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privind aprobarea </w:t>
      </w:r>
      <w:bookmarkStart w:id="2" w:name="_Hlk194324634"/>
      <w:r>
        <w:rPr>
          <w:rFonts w:hint="default" w:ascii="Tahoma" w:hAnsi="Tahoma" w:cs="Tahoma"/>
          <w:b/>
          <w:bCs w:val="0"/>
          <w:sz w:val="24"/>
          <w:szCs w:val="24"/>
        </w:rPr>
        <w:t>delegării către Unitatea Administrativ - Teritorială Județul Ialomița a depunerii cererii de finanțare și implementarea Proiectului „</w:t>
      </w:r>
      <w:r>
        <w:rPr>
          <w:rFonts w:hint="default" w:ascii="Tahoma" w:hAnsi="Tahoma" w:cs="Tahoma"/>
          <w:b/>
          <w:bCs w:val="0"/>
          <w:i/>
          <w:iCs/>
          <w:sz w:val="24"/>
          <w:szCs w:val="24"/>
        </w:rPr>
        <w:t>Dotarea cu mobilier, materiale didactice și echipamente digitale a unităților de învățământ preuniversitar din județul Ialomița</w:t>
      </w:r>
      <w:r>
        <w:rPr>
          <w:rFonts w:hint="default" w:ascii="Tahoma" w:hAnsi="Tahoma" w:cs="Tahoma"/>
          <w:b/>
          <w:bCs w:val="0"/>
          <w:sz w:val="24"/>
          <w:szCs w:val="24"/>
        </w:rPr>
        <w:t>”, finanțat în cadrul Planului Național de Redresare și Reziliență;</w:t>
      </w:r>
    </w:p>
    <w:p w14:paraId="43FD3FC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bookmarkStart w:id="3" w:name="_Hlk213251576"/>
      <w:r>
        <w:rPr>
          <w:rFonts w:hint="default" w:ascii="Tahoma" w:hAnsi="Tahoma" w:cs="Tahoma"/>
          <w:b/>
          <w:bCs w:val="0"/>
          <w:sz w:val="24"/>
          <w:szCs w:val="24"/>
        </w:rPr>
        <w:t xml:space="preserve">Acordul de colaborare </w:t>
      </w:r>
      <w:bookmarkStart w:id="4" w:name="_Hlk213850750"/>
      <w:r>
        <w:rPr>
          <w:rFonts w:hint="default" w:ascii="Tahoma" w:hAnsi="Tahoma" w:cs="Tahoma"/>
          <w:b/>
          <w:bCs w:val="0"/>
          <w:sz w:val="24"/>
          <w:szCs w:val="24"/>
        </w:rPr>
        <w:t xml:space="preserve">nr.7181/2023-V/16.03.2023 </w:t>
      </w:r>
      <w:bookmarkEnd w:id="3"/>
      <w:r>
        <w:rPr>
          <w:rFonts w:hint="default" w:ascii="Tahoma" w:hAnsi="Tahoma" w:cs="Tahoma"/>
          <w:b/>
          <w:bCs w:val="0"/>
          <w:sz w:val="24"/>
          <w:szCs w:val="24"/>
        </w:rPr>
        <w:t xml:space="preserve">pentru depunerea și implementarea proiectului </w:t>
      </w:r>
      <w:bookmarkEnd w:id="4"/>
      <w:r>
        <w:rPr>
          <w:rFonts w:hint="default" w:ascii="Tahoma" w:hAnsi="Tahoma" w:cs="Tahoma"/>
          <w:b/>
          <w:bCs w:val="0"/>
          <w:i/>
          <w:iCs/>
          <w:sz w:val="24"/>
          <w:szCs w:val="24"/>
        </w:rPr>
        <w:t>„Dotarea cu mobilier, materiale didactice și echipamente digitale a unităților de învățământ preuniversitar din județul Ialomița”,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finanțat în cadrul Planului Național de Redresare și Reziliență, încheiat între Județul Ialomița, în calitate de solicitant al finanțării și UAT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 Andrasesti </w:t>
      </w:r>
      <w:r>
        <w:rPr>
          <w:rFonts w:hint="default" w:ascii="Tahoma" w:hAnsi="Tahoma" w:cs="Tahoma"/>
          <w:b/>
          <w:bCs w:val="0"/>
          <w:sz w:val="24"/>
          <w:szCs w:val="24"/>
        </w:rPr>
        <w:t>în calitate de delegatar;</w:t>
      </w:r>
    </w:p>
    <w:bookmarkEnd w:id="2"/>
    <w:p w14:paraId="6585B1B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bookmarkStart w:id="5" w:name="_Hlk194324620"/>
      <w:r>
        <w:rPr>
          <w:rFonts w:hint="default" w:ascii="Tahoma" w:hAnsi="Tahoma" w:cs="Tahoma"/>
          <w:b/>
          <w:bCs w:val="0"/>
          <w:sz w:val="24"/>
          <w:szCs w:val="24"/>
        </w:rPr>
        <w:t xml:space="preserve">Contractul de finanțare nr.223DOT/26.07.2023, încheiat între </w:t>
      </w:r>
      <w:bookmarkStart w:id="6" w:name="_Hlk213251673"/>
      <w:r>
        <w:rPr>
          <w:rFonts w:hint="default" w:ascii="Tahoma" w:hAnsi="Tahoma" w:cs="Tahoma"/>
          <w:b/>
          <w:bCs w:val="0"/>
          <w:sz w:val="24"/>
          <w:szCs w:val="24"/>
        </w:rPr>
        <w:t xml:space="preserve">UEFISCDI, în numele și pentru Ministerul Educației, în calitate de Finanțator </w:t>
      </w:r>
      <w:bookmarkEnd w:id="6"/>
      <w:r>
        <w:rPr>
          <w:rFonts w:hint="default" w:ascii="Tahoma" w:hAnsi="Tahoma" w:cs="Tahoma"/>
          <w:b/>
          <w:bCs w:val="0"/>
          <w:sz w:val="24"/>
          <w:szCs w:val="24"/>
        </w:rPr>
        <w:t>și Județul Ialomița, în calitate de Beneficiar al finanțării;</w:t>
      </w:r>
    </w:p>
    <w:p w14:paraId="1F4CFE2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Hotărârea Consiliului Județean Ialomița nr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. 202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din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18.</w:t>
      </w:r>
      <w:r>
        <w:rPr>
          <w:rFonts w:hint="default" w:ascii="Tahoma" w:hAnsi="Tahoma" w:cs="Tahoma"/>
          <w:b/>
          <w:bCs w:val="0"/>
          <w:sz w:val="24"/>
          <w:szCs w:val="24"/>
        </w:rPr>
        <w:t>11.2025 privind aprobarea transferului dreptului de proprietate a bunurilor mobile achiziționate în cadrul proiectului „</w:t>
      </w:r>
      <w:r>
        <w:rPr>
          <w:rFonts w:hint="default" w:ascii="Tahoma" w:hAnsi="Tahoma" w:cs="Tahoma"/>
          <w:b/>
          <w:bCs w:val="0"/>
          <w:i/>
          <w:iCs/>
          <w:sz w:val="24"/>
          <w:szCs w:val="24"/>
        </w:rPr>
        <w:t>Dotarea cu mobilier, materiale didactice și echipamente digitale a unităților de învățământ preuniversitar din județul Ialomița</w:t>
      </w:r>
      <w:r>
        <w:rPr>
          <w:rFonts w:hint="default" w:ascii="Tahoma" w:hAnsi="Tahoma" w:cs="Tahoma"/>
          <w:b/>
          <w:bCs w:val="0"/>
          <w:sz w:val="24"/>
          <w:szCs w:val="24"/>
        </w:rPr>
        <w:t>”, finanțat în cadrul Planului Național de Redresare și Reziliență;</w:t>
      </w:r>
    </w:p>
    <w:p w14:paraId="109F5BC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Protocolul nr.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 24373 </w:t>
      </w:r>
      <w:r>
        <w:rPr>
          <w:rFonts w:hint="default" w:ascii="Tahoma" w:hAnsi="Tahoma" w:cs="Tahoma"/>
          <w:b/>
          <w:bCs w:val="0"/>
          <w:sz w:val="24"/>
          <w:szCs w:val="24"/>
        </w:rPr>
        <w:t>din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 18.11.2025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privind transferul dreptului de proprietate și transmiterea din domeniul privat al Județului Ialomița în domeniul privat al Unității administrativ-teritoriale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Andrasesti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a bunurilor mobile achiziționate în cadrul proiectului „</w:t>
      </w:r>
      <w:r>
        <w:rPr>
          <w:rFonts w:hint="default" w:ascii="Tahoma" w:hAnsi="Tahoma" w:cs="Tahoma"/>
          <w:b/>
          <w:bCs w:val="0"/>
          <w:i/>
          <w:iCs/>
          <w:sz w:val="24"/>
          <w:szCs w:val="24"/>
        </w:rPr>
        <w:t>Dotarea cu mobilier, materiale didactice și echipamente digitale a unităților de învățământ preuniversitar din județul Ialomița</w:t>
      </w:r>
      <w:r>
        <w:rPr>
          <w:rFonts w:hint="default" w:ascii="Tahoma" w:hAnsi="Tahoma" w:cs="Tahoma"/>
          <w:b/>
          <w:bCs w:val="0"/>
          <w:sz w:val="24"/>
          <w:szCs w:val="24"/>
        </w:rPr>
        <w:t>”, finanțat în cadrul Planului Național de Redresare și Reziliență;</w:t>
      </w:r>
    </w:p>
    <w:p w14:paraId="1BA08EF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Proces-verbal de predare primire nr.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 4409/2025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privind transferul efectiv a bunurilor mobile achiziționate în cadrul proiectului „</w:t>
      </w:r>
      <w:r>
        <w:rPr>
          <w:rFonts w:hint="default" w:ascii="Tahoma" w:hAnsi="Tahoma" w:cs="Tahoma"/>
          <w:b/>
          <w:bCs w:val="0"/>
          <w:i/>
          <w:iCs/>
          <w:sz w:val="24"/>
          <w:szCs w:val="24"/>
        </w:rPr>
        <w:t>Dotarea cu mobilier, materiale didactice și echipamente digitale a unităților de învățământ preuniversitar din județul Ialomița</w:t>
      </w:r>
      <w:r>
        <w:rPr>
          <w:rFonts w:hint="default" w:ascii="Tahoma" w:hAnsi="Tahoma" w:cs="Tahoma"/>
          <w:b/>
          <w:bCs w:val="0"/>
          <w:sz w:val="24"/>
          <w:szCs w:val="24"/>
        </w:rPr>
        <w:t>”, finanțat în cadrul Planului Național de Redresare și Reziliență;</w:t>
      </w:r>
    </w:p>
    <w:bookmarkEnd w:id="5"/>
    <w:p w14:paraId="54FF277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Raportul de specialitate n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r. 4356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al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 19.11.2025;</w:t>
      </w:r>
    </w:p>
    <w:p w14:paraId="5B9B1C8F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240" w:line="240" w:lineRule="auto"/>
        <w:textAlignment w:val="auto"/>
        <w:rPr>
          <w:rFonts w:hint="default" w:ascii="Tahoma" w:hAnsi="Tahoma" w:cs="Tahoma"/>
          <w:b/>
          <w:bCs w:val="0"/>
          <w:i w:val="0"/>
          <w:color w:val="auto"/>
          <w:sz w:val="24"/>
          <w:szCs w:val="24"/>
          <w:lang w:val="ro-RO"/>
        </w:rPr>
      </w:pPr>
      <w:r>
        <w:rPr>
          <w:rFonts w:hint="default" w:ascii="Tahoma" w:hAnsi="Tahoma" w:cs="Tahoma"/>
          <w:b/>
          <w:bCs w:val="0"/>
          <w:i w:val="0"/>
          <w:color w:val="auto"/>
          <w:sz w:val="24"/>
          <w:szCs w:val="24"/>
          <w:lang w:val="ro-RO"/>
        </w:rPr>
        <w:t>Avizul nr.</w:t>
      </w:r>
      <w:r>
        <w:rPr>
          <w:rFonts w:hint="default" w:ascii="Tahoma" w:hAnsi="Tahoma" w:cs="Tahoma"/>
          <w:b/>
          <w:bCs w:val="0"/>
          <w:i w:val="0"/>
          <w:color w:val="auto"/>
          <w:sz w:val="24"/>
          <w:szCs w:val="24"/>
          <w:lang w:val="en-US"/>
        </w:rPr>
        <w:t>4358/1-3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</w:t>
      </w:r>
      <w:r>
        <w:rPr>
          <w:rFonts w:hint="default" w:ascii="Tahoma" w:hAnsi="Tahoma" w:cs="Tahoma"/>
          <w:b/>
          <w:bCs w:val="0"/>
          <w:i w:val="0"/>
          <w:color w:val="auto"/>
          <w:sz w:val="24"/>
          <w:szCs w:val="24"/>
          <w:lang w:val="ro-RO"/>
        </w:rPr>
        <w:t>al Comisi</w:t>
      </w:r>
      <w:r>
        <w:rPr>
          <w:rFonts w:hint="default" w:ascii="Tahoma" w:hAnsi="Tahoma" w:cs="Tahoma"/>
          <w:b/>
          <w:bCs w:val="0"/>
          <w:i w:val="0"/>
          <w:color w:val="auto"/>
          <w:sz w:val="24"/>
          <w:szCs w:val="24"/>
          <w:lang w:val="en-US"/>
        </w:rPr>
        <w:t>ilor despecialitate ale consiliului local Andrasesti,</w:t>
      </w:r>
    </w:p>
    <w:p w14:paraId="64E258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720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În conformitate cu:</w:t>
      </w:r>
    </w:p>
    <w:p w14:paraId="5A66F6A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 xml:space="preserve">Ghidul solicitantului PNRR/2022 care cuprinde condițiile specifice de accesare a fondurilor în cadrul Componentei 15 – : Educație Reforma 4. Crearea unei rute profesionale complete pentru învățământul tehnic superior Investiția 13. </w:t>
      </w:r>
      <w:bookmarkStart w:id="7" w:name="_Hlk213252422"/>
      <w:r>
        <w:rPr>
          <w:rFonts w:hint="default" w:ascii="Tahoma" w:hAnsi="Tahoma" w:cs="Tahoma"/>
          <w:b/>
          <w:bCs w:val="0"/>
          <w:sz w:val="24"/>
          <w:szCs w:val="24"/>
        </w:rPr>
        <w:t>Echiparea laboratoarelor informatice din școlile de educație și formare profesională</w:t>
      </w:r>
      <w:bookmarkEnd w:id="7"/>
      <w:r>
        <w:rPr>
          <w:rFonts w:hint="default" w:ascii="Tahoma" w:hAnsi="Tahoma" w:cs="Tahoma"/>
          <w:b/>
          <w:bCs w:val="0"/>
          <w:sz w:val="24"/>
          <w:szCs w:val="24"/>
        </w:rPr>
        <w:t xml:space="preserve"> (EFP) Investiția 14. </w:t>
      </w:r>
      <w:bookmarkStart w:id="8" w:name="_Hlk213252409"/>
      <w:r>
        <w:rPr>
          <w:rFonts w:hint="default" w:ascii="Tahoma" w:hAnsi="Tahoma" w:cs="Tahoma"/>
          <w:b/>
          <w:bCs w:val="0"/>
          <w:sz w:val="24"/>
          <w:szCs w:val="24"/>
        </w:rPr>
        <w:t>Echiparea atelierelor de practică din unitățile de învățământ profesional și tehnic</w:t>
      </w:r>
      <w:bookmarkEnd w:id="8"/>
      <w:r>
        <w:rPr>
          <w:rFonts w:hint="default" w:ascii="Tahoma" w:hAnsi="Tahoma" w:cs="Tahoma"/>
          <w:b/>
          <w:bCs w:val="0"/>
          <w:sz w:val="24"/>
          <w:szCs w:val="24"/>
        </w:rPr>
        <w:t xml:space="preserve"> Reforma 5. Adoptarea cadrului legislativ pentru digitalizarea educației Investiția 9. </w:t>
      </w:r>
      <w:bookmarkStart w:id="9" w:name="_Hlk213252395"/>
      <w:r>
        <w:rPr>
          <w:rFonts w:hint="default" w:ascii="Tahoma" w:hAnsi="Tahoma" w:cs="Tahoma"/>
          <w:b/>
          <w:bCs w:val="0"/>
          <w:sz w:val="24"/>
          <w:szCs w:val="24"/>
        </w:rPr>
        <w:t>Asigurarea echipamentelor și a resurselor tehnologice digitale pentru unitățile de învățământ</w:t>
      </w:r>
      <w:bookmarkEnd w:id="9"/>
      <w:r>
        <w:rPr>
          <w:rFonts w:hint="default" w:ascii="Tahoma" w:hAnsi="Tahoma" w:cs="Tahoma"/>
          <w:b/>
          <w:bCs w:val="0"/>
          <w:sz w:val="24"/>
          <w:szCs w:val="24"/>
        </w:rPr>
        <w:t xml:space="preserve"> Reforma 6. Actualizarea cadrului legislativ pentru a asigura standarde ecologice de proiectare, construcție și dotare în sistemul de învățământ preuniversitar Investiția 11. </w:t>
      </w:r>
      <w:bookmarkStart w:id="10" w:name="_Hlk213252377"/>
      <w:r>
        <w:rPr>
          <w:rFonts w:hint="default" w:ascii="Tahoma" w:hAnsi="Tahoma" w:cs="Tahoma"/>
          <w:b/>
          <w:bCs w:val="0"/>
          <w:sz w:val="24"/>
          <w:szCs w:val="24"/>
        </w:rPr>
        <w:t>Asigurarea dotărilor pentru sălile de clasă preuniversitare și laboratoarele/atelierele școlare</w:t>
      </w:r>
      <w:bookmarkEnd w:id="10"/>
      <w:r>
        <w:rPr>
          <w:rFonts w:hint="default" w:ascii="Tahoma" w:hAnsi="Tahoma" w:cs="Tahoma"/>
          <w:b/>
          <w:bCs w:val="0"/>
          <w:sz w:val="24"/>
          <w:szCs w:val="24"/>
        </w:rPr>
        <w:t>;</w:t>
      </w:r>
    </w:p>
    <w:p w14:paraId="3B1179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bookmarkStart w:id="11" w:name="_Hlk194324647"/>
      <w:r>
        <w:rPr>
          <w:rFonts w:hint="default" w:ascii="Tahoma" w:hAnsi="Tahoma" w:cs="Tahoma"/>
          <w:b/>
          <w:bCs w:val="0"/>
          <w:sz w:val="24"/>
          <w:szCs w:val="24"/>
        </w:rPr>
        <w:t xml:space="preserve">prevederile </w:t>
      </w:r>
      <w:bookmarkStart w:id="12" w:name="_Hlk213252860"/>
      <w:r>
        <w:rPr>
          <w:rFonts w:hint="default" w:ascii="Tahoma" w:hAnsi="Tahoma" w:cs="Tahoma"/>
          <w:b/>
          <w:bCs w:val="0"/>
          <w:sz w:val="24"/>
          <w:szCs w:val="24"/>
        </w:rPr>
        <w:t>art.5 alin.(33) și (34) din Contractul de finanțare nr.223DOT/26.07.2023</w:t>
      </w:r>
      <w:bookmarkEnd w:id="12"/>
      <w:r>
        <w:rPr>
          <w:rFonts w:hint="default" w:ascii="Tahoma" w:hAnsi="Tahoma" w:cs="Tahoma"/>
          <w:b/>
          <w:bCs w:val="0"/>
          <w:sz w:val="24"/>
          <w:szCs w:val="24"/>
        </w:rPr>
        <w:t xml:space="preserve">, </w:t>
      </w:r>
      <w:bookmarkStart w:id="13" w:name="_Hlk213251912"/>
      <w:r>
        <w:rPr>
          <w:rFonts w:hint="default" w:ascii="Tahoma" w:hAnsi="Tahoma" w:cs="Tahoma"/>
          <w:b/>
          <w:bCs w:val="0"/>
          <w:sz w:val="24"/>
          <w:szCs w:val="24"/>
        </w:rPr>
        <w:t>ce impun obligația ca la finalizarea perioadei de implementare a Proiectului, Beneficiarul care a preluat delegarea depunerii (Județul Ialomița) să transfere dreptul de proprietate asupra bunurilor achiziționate către entitatea care a delegat dreptul de depunere (unitățile administrativ-teritoriale delegatare) și obligația acestora de a transfera dreptul de proprietate asupra bunurilor achiziționate, cu titlu gratuit, fiecărei unități de învățământ din subordine, utilizator al investiției finanțate;</w:t>
      </w:r>
    </w:p>
    <w:bookmarkEnd w:id="13"/>
    <w:p w14:paraId="2870ECF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prevederile Hotărârii Guvernului nr. 841/1995 privind procedurile de transmitere fără plată și de valorificare a bunurilor aparținând instituțiilor publice, cu modificările și completările ulterioare, Anexa nr. 1 – Condițiile și procedurile de transmitere, fără plată, de la o instituție publică la altă instituție publică a unor bunuri aflate în stare de funcționare,</w:t>
      </w:r>
    </w:p>
    <w:bookmarkEnd w:id="11"/>
    <w:p w14:paraId="0F408CC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40"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prevederile art. 129 alin. (1) lit. c), d), e), alin.(6) lit. b), alin. (7) lit. a), alin. (9) lit. a) din Ordonanța de urgență a Guvernului nr. 57/2019 privind Codul administrativ, cu modificările şi completările ulterioare,</w:t>
      </w:r>
    </w:p>
    <w:p w14:paraId="3A65E3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40" w:line="240" w:lineRule="auto"/>
        <w:ind w:firstLine="720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În temeiul art. 196 alin. (1) lit. a) din Ordonanța de Urgența a Guvernului nr. 57/2019 privind Codul administrativ, cu modificările şi completările ulterioare,</w:t>
      </w:r>
    </w:p>
    <w:p w14:paraId="71E593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240" w:after="240" w:line="240" w:lineRule="auto"/>
        <w:jc w:val="center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H O T Ă R Ă Ş T E:</w:t>
      </w:r>
    </w:p>
    <w:p w14:paraId="0F5C3D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240"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ab/>
      </w:r>
      <w:r>
        <w:rPr>
          <w:rFonts w:hint="default" w:ascii="Tahoma" w:hAnsi="Tahoma" w:cs="Tahoma"/>
          <w:b/>
          <w:bCs w:val="0"/>
          <w:sz w:val="24"/>
          <w:szCs w:val="24"/>
          <w:u w:val="single"/>
        </w:rPr>
        <w:t>Art.1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- 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Se aprobă transferul dreptului de proprietate și transmiterea din domeniul privat al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UAT ANDRASESTI </w:t>
      </w:r>
      <w:r>
        <w:rPr>
          <w:rFonts w:hint="default" w:ascii="Tahoma" w:hAnsi="Tahoma" w:cs="Tahoma"/>
          <w:b/>
          <w:bCs w:val="0"/>
          <w:sz w:val="24"/>
          <w:szCs w:val="24"/>
        </w:rPr>
        <w:t>în domeniul privat al unităților de învățământ din subordine, utilizatori ai investiției finanțate, a bunurilor mobile achiziționate în cadrul proiectului „</w:t>
      </w:r>
      <w:r>
        <w:rPr>
          <w:rFonts w:hint="default" w:ascii="Tahoma" w:hAnsi="Tahoma" w:cs="Tahoma"/>
          <w:b/>
          <w:bCs w:val="0"/>
          <w:i/>
          <w:iCs/>
          <w:sz w:val="24"/>
          <w:szCs w:val="24"/>
        </w:rPr>
        <w:t>Dotarea cu mobilier, materiale didactice și echipamente digitale a unităților de învățământ preuniversitar din județul Ialomița</w:t>
      </w:r>
      <w:r>
        <w:rPr>
          <w:rFonts w:hint="default" w:ascii="Tahoma" w:hAnsi="Tahoma" w:cs="Tahoma"/>
          <w:b/>
          <w:bCs w:val="0"/>
          <w:sz w:val="24"/>
          <w:szCs w:val="24"/>
        </w:rPr>
        <w:t>”, finanțat în cadrul Planului Național de Redresare și Reziliență, având datele de identificare prevăzute în Anexa nr. 1, care face parte integrantă din prezenta hotărâre.</w:t>
      </w:r>
    </w:p>
    <w:p w14:paraId="60B53C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ab/>
      </w:r>
      <w:r>
        <w:rPr>
          <w:rFonts w:hint="default" w:ascii="Tahoma" w:hAnsi="Tahoma" w:cs="Tahoma"/>
          <w:b/>
          <w:bCs w:val="0"/>
          <w:sz w:val="24"/>
          <w:szCs w:val="24"/>
          <w:u w:val="single"/>
        </w:rPr>
        <w:t>Art.2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- </w:t>
      </w:r>
      <w:r>
        <w:rPr>
          <w:rFonts w:hint="default" w:ascii="Tahoma" w:hAnsi="Tahoma" w:cs="Tahoma"/>
          <w:b/>
          <w:bCs w:val="0"/>
          <w:sz w:val="24"/>
          <w:szCs w:val="24"/>
        </w:rPr>
        <w:t>(1) Predarea și preluarea bunurilor mobile prevăzute la Art.1 se va face pe bază de protocol încheiat între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 UAT ANDRASESTI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și fiecare unitate de învățământ din subordine, utilizator al investiției finanțate, prin reprezentanții legali. </w:t>
      </w:r>
    </w:p>
    <w:p w14:paraId="23EA733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20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(2) Predarea-preluarea efectivă a bunurilor mobile se va realiza pe baza proceselor-verbale întocmite de comisii desemnate în acest sens.</w:t>
      </w:r>
    </w:p>
    <w:p w14:paraId="7452F0A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20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(3) În baza protocoalelor de predare – primire se vor efectua operațiunile financiar contabile de scoatere din evidența contabilă a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 UAT ANDRASESTI</w:t>
      </w:r>
      <w:r>
        <w:rPr>
          <w:rFonts w:hint="default" w:ascii="Tahoma" w:hAnsi="Tahoma" w:cs="Tahoma"/>
          <w:b/>
          <w:bCs w:val="0"/>
          <w:sz w:val="24"/>
          <w:szCs w:val="24"/>
        </w:rPr>
        <w:t>, respectiv de introducere în evidența contabilă a  unităților de învățământ din subordine, utilizatori ai investiției finanțate.</w:t>
      </w:r>
    </w:p>
    <w:p w14:paraId="378AFB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240" w:line="240" w:lineRule="auto"/>
        <w:ind w:firstLine="720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</w:rPr>
        <w:t>(4) Se împuternicește Primarul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 UAT ANDRASESTI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să semneze în numele și pe seama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UAT ANDRASESTI </w:t>
      </w:r>
      <w:r>
        <w:rPr>
          <w:rFonts w:hint="default" w:ascii="Tahoma" w:hAnsi="Tahoma" w:cs="Tahoma"/>
          <w:b/>
          <w:bCs w:val="0"/>
          <w:sz w:val="24"/>
          <w:szCs w:val="24"/>
        </w:rPr>
        <w:t>protocolul de predare – primire în forma prevăzută în Anexa nr.2, care face parte integrală din prezenta hotărâre.</w:t>
      </w:r>
    </w:p>
    <w:p w14:paraId="69E835F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20"/>
        <w:jc w:val="both"/>
        <w:textAlignment w:val="auto"/>
        <w:rPr>
          <w:rFonts w:hint="default" w:ascii="Tahoma" w:hAnsi="Tahoma" w:cs="Tahoma"/>
          <w:b/>
          <w:bCs w:val="0"/>
          <w:sz w:val="24"/>
          <w:szCs w:val="24"/>
        </w:rPr>
      </w:pPr>
      <w:r>
        <w:rPr>
          <w:rFonts w:hint="default" w:ascii="Tahoma" w:hAnsi="Tahoma" w:cs="Tahoma"/>
          <w:b/>
          <w:bCs w:val="0"/>
          <w:sz w:val="24"/>
          <w:szCs w:val="24"/>
          <w:u w:val="single"/>
        </w:rPr>
        <w:t>Art.3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- 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Prin grija Secretarului General al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UAT ANDRASESTI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, prezenta hotărâre va fi comunicată spre ducere la îndeplinire direcțiilor de specialitate din cadrul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 xml:space="preserve">UAT ANDRASESTI </w:t>
      </w:r>
      <w:r>
        <w:rPr>
          <w:rFonts w:hint="default" w:ascii="Tahoma" w:hAnsi="Tahoma" w:cs="Tahoma"/>
          <w:b/>
          <w:bCs w:val="0"/>
          <w:sz w:val="24"/>
          <w:szCs w:val="24"/>
        </w:rPr>
        <w:t xml:space="preserve">implicate în implementarea proiectului și unităților de învățământ din subordine, utilizatori ai investiției finanțate, și, spre știință, Județului Ialomița și Instituției Prefectului - Județul Ialomița,  urmând a fi publicată pe site-ul </w:t>
      </w:r>
      <w:r>
        <w:rPr>
          <w:rFonts w:hint="default" w:ascii="Tahoma" w:hAnsi="Tahoma" w:cs="Tahoma"/>
          <w:b/>
          <w:bCs w:val="0"/>
          <w:sz w:val="24"/>
          <w:szCs w:val="24"/>
          <w:lang w:val="en-US"/>
        </w:rPr>
        <w:t>UAT ANDRASESTI</w:t>
      </w:r>
      <w:r>
        <w:rPr>
          <w:rFonts w:hint="default" w:ascii="Tahoma" w:hAnsi="Tahoma" w:cs="Tahoma"/>
          <w:b/>
          <w:bCs w:val="0"/>
          <w:sz w:val="24"/>
          <w:szCs w:val="24"/>
        </w:rPr>
        <w:t>.</w:t>
      </w:r>
    </w:p>
    <w:p w14:paraId="4B54DE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480" w:leftChars="218" w:firstLine="531" w:firstLineChars="221"/>
        <w:jc w:val="both"/>
        <w:textAlignment w:val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>Contrasemneaza pentru legalitate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0DB193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2832" w:leftChars="0" w:firstLine="708" w:firstLineChars="0"/>
        <w:jc w:val="center"/>
        <w:textAlignment w:val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Secretar general al UATAndrășești</w:t>
      </w:r>
    </w:p>
    <w:p w14:paraId="5AF9DFE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>NECULAE ALEXANDRU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39E390D0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en-US"/>
        </w:rPr>
        <w:t>26.11</w:t>
      </w:r>
      <w:r>
        <w:rPr>
          <w:rFonts w:hint="default" w:ascii="Tahoma" w:hAnsi="Tahoma" w:cs="Tahoma"/>
          <w:b/>
          <w:sz w:val="24"/>
          <w:szCs w:val="24"/>
          <w:lang w:val="ro-RO"/>
        </w:rPr>
        <w:t>.2025</w:t>
      </w:r>
    </w:p>
    <w:sectPr>
      <w:headerReference r:id="rId5" w:type="default"/>
      <w:headerReference r:id="rId6" w:type="even"/>
      <w:pgSz w:w="12240" w:h="15840"/>
      <w:pgMar w:top="504" w:right="763" w:bottom="432" w:left="113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S_Rond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3B985">
    <w:pPr>
      <w:pStyle w:val="11"/>
    </w:pPr>
  </w:p>
  <w:p w14:paraId="2479179E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0B88F">
    <w:pPr>
      <w:pStyle w:val="11"/>
    </w:pPr>
    <w:r>
      <w:pict>
        <v:shape id="_x0000_s4097" o:spid="_x0000_s4097" o:spt="136" type="#_x0000_t136" style="position:absolute;left:0pt;height:249.8pt;width:499.6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MODEL" style="font-family:Calibri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F2B11"/>
    <w:multiLevelType w:val="multilevel"/>
    <w:tmpl w:val="095F2B1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9B4D35"/>
    <w:multiLevelType w:val="multilevel"/>
    <w:tmpl w:val="2D9B4D3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1C73EF2"/>
    <w:multiLevelType w:val="multilevel"/>
    <w:tmpl w:val="41C73EF2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11"/>
    <w:rsid w:val="00036896"/>
    <w:rsid w:val="000632A4"/>
    <w:rsid w:val="00077C77"/>
    <w:rsid w:val="0010089F"/>
    <w:rsid w:val="00113EBD"/>
    <w:rsid w:val="00122DD5"/>
    <w:rsid w:val="00133BB2"/>
    <w:rsid w:val="00134EDB"/>
    <w:rsid w:val="00161389"/>
    <w:rsid w:val="00172CE6"/>
    <w:rsid w:val="00196E6B"/>
    <w:rsid w:val="001B1D21"/>
    <w:rsid w:val="001B1E18"/>
    <w:rsid w:val="001B45D9"/>
    <w:rsid w:val="002319FC"/>
    <w:rsid w:val="00250109"/>
    <w:rsid w:val="00261BC3"/>
    <w:rsid w:val="00273EF2"/>
    <w:rsid w:val="0032689A"/>
    <w:rsid w:val="0037167E"/>
    <w:rsid w:val="00377F0F"/>
    <w:rsid w:val="0040047D"/>
    <w:rsid w:val="004174E1"/>
    <w:rsid w:val="004460FE"/>
    <w:rsid w:val="00452122"/>
    <w:rsid w:val="00484191"/>
    <w:rsid w:val="004F0A93"/>
    <w:rsid w:val="0055134C"/>
    <w:rsid w:val="00556751"/>
    <w:rsid w:val="00575BBC"/>
    <w:rsid w:val="005A5589"/>
    <w:rsid w:val="005C5368"/>
    <w:rsid w:val="0062460C"/>
    <w:rsid w:val="0064759B"/>
    <w:rsid w:val="00650013"/>
    <w:rsid w:val="00694E7D"/>
    <w:rsid w:val="006F0851"/>
    <w:rsid w:val="00733F48"/>
    <w:rsid w:val="00761BC0"/>
    <w:rsid w:val="00796616"/>
    <w:rsid w:val="007A5AAC"/>
    <w:rsid w:val="00813720"/>
    <w:rsid w:val="00842C4C"/>
    <w:rsid w:val="00861FD6"/>
    <w:rsid w:val="00976695"/>
    <w:rsid w:val="009A0D60"/>
    <w:rsid w:val="009B131D"/>
    <w:rsid w:val="009C1328"/>
    <w:rsid w:val="00A76611"/>
    <w:rsid w:val="00AB19E4"/>
    <w:rsid w:val="00AB63D4"/>
    <w:rsid w:val="00AE5F67"/>
    <w:rsid w:val="00B60E0A"/>
    <w:rsid w:val="00B71637"/>
    <w:rsid w:val="00B76AE6"/>
    <w:rsid w:val="00BD36D7"/>
    <w:rsid w:val="00C2071F"/>
    <w:rsid w:val="00C72528"/>
    <w:rsid w:val="00CD7FEB"/>
    <w:rsid w:val="00CF4C95"/>
    <w:rsid w:val="00E17036"/>
    <w:rsid w:val="00E22516"/>
    <w:rsid w:val="00EB105B"/>
    <w:rsid w:val="00EC2D3F"/>
    <w:rsid w:val="00EF3C3F"/>
    <w:rsid w:val="00F05794"/>
    <w:rsid w:val="10945208"/>
    <w:rsid w:val="1B947172"/>
    <w:rsid w:val="39AA4DB3"/>
    <w:rsid w:val="3C893739"/>
    <w:rsid w:val="41CC0D7B"/>
    <w:rsid w:val="4A71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Indent"/>
    <w:basedOn w:val="1"/>
    <w:unhideWhenUsed/>
    <w:qFormat/>
    <w:uiPriority w:val="0"/>
    <w:pPr>
      <w:ind w:firstLine="720"/>
      <w:jc w:val="both"/>
    </w:pPr>
    <w:rPr>
      <w:rFonts w:ascii="HS_Rond" w:hAnsi="HS_Rond"/>
      <w:i/>
      <w:color w:val="000000"/>
      <w:sz w:val="28"/>
      <w:szCs w:val="20"/>
      <w:lang w:val="zh-CN"/>
    </w:rPr>
  </w:style>
  <w:style w:type="character" w:styleId="6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7">
    <w:name w:val="endnote text"/>
    <w:basedOn w:val="1"/>
    <w:link w:val="15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2"/>
    <w:semiHidden/>
    <w:unhideWhenUsed/>
    <w:qFormat/>
    <w:uiPriority w:val="99"/>
    <w:rPr>
      <w:color w:val="0563C1"/>
      <w:u w:val="single"/>
    </w:rPr>
  </w:style>
  <w:style w:type="table" w:styleId="13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ro-RO"/>
    </w:rPr>
  </w:style>
  <w:style w:type="character" w:customStyle="1" w:styleId="15">
    <w:name w:val="Endnote Text Char"/>
    <w:basedOn w:val="2"/>
    <w:link w:val="7"/>
    <w:qFormat/>
    <w:uiPriority w:val="99"/>
    <w:rPr>
      <w:sz w:val="20"/>
      <w:szCs w:val="20"/>
      <w:lang w:val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Footnote Text Char"/>
    <w:basedOn w:val="2"/>
    <w:link w:val="10"/>
    <w:semiHidden/>
    <w:qFormat/>
    <w:uiPriority w:val="99"/>
    <w:rPr>
      <w:sz w:val="20"/>
      <w:szCs w:val="20"/>
      <w:lang w:val="ro-RO"/>
    </w:rPr>
  </w:style>
  <w:style w:type="character" w:customStyle="1" w:styleId="18">
    <w:name w:val="Header Char"/>
    <w:basedOn w:val="2"/>
    <w:link w:val="11"/>
    <w:qFormat/>
    <w:uiPriority w:val="99"/>
    <w:rPr>
      <w:lang w:val="ro-RO"/>
    </w:rPr>
  </w:style>
  <w:style w:type="character" w:customStyle="1" w:styleId="19">
    <w:name w:val="Footer Char"/>
    <w:basedOn w:val="2"/>
    <w:link w:val="8"/>
    <w:qFormat/>
    <w:uiPriority w:val="99"/>
    <w:rPr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7CDE8-BA38-4FF1-8E11-0296B78DC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3419</Characters>
  <Lines>28</Lines>
  <Paragraphs>8</Paragraphs>
  <TotalTime>23</TotalTime>
  <ScaleCrop>false</ScaleCrop>
  <LinksUpToDate>false</LinksUpToDate>
  <CharactersWithSpaces>4010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2024-03-27T07:45:00Z</dcterms:created>
  <dc:creator>Anne-Marie Hoara</dc:creator>
  <cp:lastModifiedBy>Primaria Andrasesti</cp:lastModifiedBy>
  <cp:lastPrinted>2025-11-27T08:04:00Z</cp:lastPrinted>
  <dcterms:modified xsi:type="dcterms:W3CDTF">2025-11-27T09:46:01Z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E551FAFFB2FD4BF5AA69AD905B77C48B_13</vt:lpwstr>
  </property>
</Properties>
</file>