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830A2">
      <w:pPr>
        <w:pStyle w:val="20"/>
        <w:jc w:val="both"/>
        <w:rPr>
          <w:rFonts w:hint="default" w:ascii="Tahoma" w:hAnsi="Tahoma" w:cs="Tahoma"/>
          <w:b/>
          <w:sz w:val="24"/>
          <w:szCs w:val="24"/>
          <w:lang w:val="en-US"/>
        </w:rPr>
      </w:pPr>
      <w:r>
        <w:rPr>
          <w:rFonts w:hint="default" w:ascii="Tahoma" w:hAnsi="Tahoma" w:cs="Tahoma"/>
          <w:b/>
          <w:sz w:val="24"/>
          <w:szCs w:val="24"/>
        </w:rPr>
        <w:t xml:space="preserve">COMUNA </w:t>
      </w:r>
      <w:r>
        <w:rPr>
          <w:rFonts w:hint="default" w:ascii="Tahoma" w:hAnsi="Tahoma" w:cs="Tahoma"/>
          <w:b/>
          <w:sz w:val="24"/>
          <w:szCs w:val="24"/>
          <w:lang w:val="en-US"/>
        </w:rPr>
        <w:t>ANDRASESTI</w:t>
      </w:r>
    </w:p>
    <w:p w14:paraId="130E7C03">
      <w:pPr>
        <w:pStyle w:val="20"/>
        <w:jc w:val="both"/>
        <w:rPr>
          <w:rFonts w:hint="default" w:ascii="Tahoma" w:hAnsi="Tahoma" w:cs="Tahoma"/>
          <w:b/>
          <w:sz w:val="24"/>
          <w:szCs w:val="24"/>
          <w:lang w:val="en-US"/>
        </w:rPr>
      </w:pPr>
      <w:r>
        <w:rPr>
          <w:rFonts w:hint="default" w:ascii="Tahoma" w:hAnsi="Tahoma" w:cs="Tahoma"/>
          <w:b/>
          <w:sz w:val="24"/>
          <w:szCs w:val="24"/>
        </w:rPr>
        <w:t xml:space="preserve">CONSILILUL LOCAL </w:t>
      </w:r>
      <w:r>
        <w:rPr>
          <w:rFonts w:hint="default" w:ascii="Tahoma" w:hAnsi="Tahoma" w:cs="Tahoma"/>
          <w:b/>
          <w:sz w:val="24"/>
          <w:szCs w:val="24"/>
          <w:lang w:val="en-US"/>
        </w:rPr>
        <w:t>ANDRASESTI</w:t>
      </w:r>
    </w:p>
    <w:p w14:paraId="2DB84BAB">
      <w:pPr>
        <w:pStyle w:val="20"/>
        <w:jc w:val="both"/>
        <w:rPr>
          <w:rFonts w:hint="default" w:ascii="Tahoma" w:hAnsi="Tahoma" w:cs="Tahoma"/>
          <w:b/>
          <w:sz w:val="24"/>
          <w:szCs w:val="24"/>
          <w:lang w:val="en-US"/>
        </w:rPr>
      </w:pPr>
      <w:r>
        <w:rPr>
          <w:rFonts w:hint="default" w:ascii="Tahoma" w:hAnsi="Tahoma" w:cs="Tahoma"/>
          <w:b/>
          <w:sz w:val="24"/>
          <w:szCs w:val="24"/>
        </w:rPr>
        <w:t xml:space="preserve">JUDETUL </w:t>
      </w:r>
      <w:r>
        <w:rPr>
          <w:rFonts w:hint="default" w:ascii="Tahoma" w:hAnsi="Tahoma" w:cs="Tahoma"/>
          <w:b/>
          <w:sz w:val="24"/>
          <w:szCs w:val="24"/>
          <w:lang w:val="en-US"/>
        </w:rPr>
        <w:t>IALOMITA</w:t>
      </w:r>
    </w:p>
    <w:p w14:paraId="64D0BD1B">
      <w:pPr>
        <w:pStyle w:val="20"/>
        <w:jc w:val="center"/>
        <w:rPr>
          <w:rFonts w:hint="default" w:ascii="Tahoma" w:hAnsi="Tahoma" w:cs="Tahoma"/>
          <w:b/>
          <w:sz w:val="24"/>
          <w:szCs w:val="24"/>
        </w:rPr>
      </w:pPr>
    </w:p>
    <w:p w14:paraId="0D9ABE36">
      <w:pPr>
        <w:pStyle w:val="20"/>
        <w:jc w:val="center"/>
        <w:rPr>
          <w:rFonts w:hint="default" w:ascii="Tahoma" w:hAnsi="Tahoma" w:cs="Tahoma"/>
          <w:b/>
          <w:sz w:val="24"/>
          <w:szCs w:val="24"/>
        </w:rPr>
      </w:pPr>
      <w:r>
        <w:rPr>
          <w:rFonts w:hint="default" w:ascii="Tahoma" w:hAnsi="Tahoma" w:cs="Tahoma"/>
          <w:b/>
          <w:sz w:val="24"/>
          <w:szCs w:val="24"/>
        </w:rPr>
        <w:t xml:space="preserve"> HOTĂRÂRE</w:t>
      </w:r>
    </w:p>
    <w:p w14:paraId="3DE3A16E">
      <w:pPr>
        <w:spacing w:after="0" w:line="240" w:lineRule="auto"/>
        <w:ind w:right="-567"/>
        <w:jc w:val="center"/>
        <w:rPr>
          <w:rFonts w:hint="default" w:ascii="Tahoma" w:hAnsi="Tahoma" w:eastAsia="Times New Roman" w:cs="Tahoma"/>
          <w:b/>
          <w:sz w:val="24"/>
          <w:szCs w:val="24"/>
        </w:rPr>
      </w:pPr>
      <w:r>
        <w:rPr>
          <w:rFonts w:hint="default" w:ascii="Tahoma" w:hAnsi="Tahoma" w:eastAsia="Times New Roman" w:cs="Tahoma"/>
          <w:b/>
          <w:sz w:val="24"/>
          <w:szCs w:val="24"/>
        </w:rPr>
        <w:t xml:space="preserve">privind infiintarea  Serviciului  Public de Alimentare cu Apă și Canalizare </w:t>
      </w:r>
    </w:p>
    <w:p w14:paraId="0E045D17">
      <w:pPr>
        <w:spacing w:after="0" w:line="240" w:lineRule="auto"/>
        <w:ind w:right="-567"/>
        <w:jc w:val="center"/>
        <w:rPr>
          <w:rFonts w:hint="default" w:ascii="Tahoma" w:hAnsi="Tahoma" w:eastAsia="Times New Roman" w:cs="Tahoma"/>
          <w:b/>
          <w:sz w:val="24"/>
          <w:szCs w:val="24"/>
          <w:lang w:val="en-US"/>
        </w:rPr>
      </w:pPr>
      <w:r>
        <w:rPr>
          <w:rFonts w:hint="default" w:ascii="Tahoma" w:hAnsi="Tahoma" w:eastAsia="Times New Roman" w:cs="Tahoma"/>
          <w:b/>
          <w:sz w:val="24"/>
          <w:szCs w:val="24"/>
        </w:rPr>
        <w:t xml:space="preserve">al Comunei </w:t>
      </w:r>
      <w:r>
        <w:rPr>
          <w:rFonts w:hint="default" w:ascii="Tahoma" w:hAnsi="Tahoma" w:eastAsia="Times New Roman" w:cs="Tahoma"/>
          <w:b/>
          <w:sz w:val="24"/>
          <w:szCs w:val="24"/>
          <w:lang w:val="en-US"/>
        </w:rPr>
        <w:t>ANDRASESTI</w:t>
      </w:r>
      <w:r>
        <w:rPr>
          <w:rFonts w:hint="default" w:ascii="Tahoma" w:hAnsi="Tahoma" w:eastAsia="Times New Roman" w:cs="Tahoma"/>
          <w:b/>
          <w:sz w:val="24"/>
          <w:szCs w:val="24"/>
        </w:rPr>
        <w:t xml:space="preserve"> , Judeţul </w:t>
      </w:r>
      <w:r>
        <w:rPr>
          <w:rFonts w:hint="default" w:ascii="Tahoma" w:hAnsi="Tahoma" w:eastAsia="Times New Roman" w:cs="Tahoma"/>
          <w:b/>
          <w:sz w:val="24"/>
          <w:szCs w:val="24"/>
          <w:lang w:val="en-US"/>
        </w:rPr>
        <w:t>IALOMITA</w:t>
      </w:r>
    </w:p>
    <w:p w14:paraId="5873FA25">
      <w:pPr>
        <w:tabs>
          <w:tab w:val="left" w:pos="6341"/>
        </w:tabs>
        <w:spacing w:after="0" w:line="240" w:lineRule="auto"/>
        <w:ind w:right="-567"/>
        <w:jc w:val="center"/>
        <w:rPr>
          <w:rFonts w:hint="default" w:ascii="Tahoma" w:hAnsi="Tahoma" w:eastAsia="Times New Roman" w:cs="Tahoma"/>
          <w:b/>
          <w:sz w:val="24"/>
          <w:szCs w:val="24"/>
        </w:rPr>
      </w:pPr>
    </w:p>
    <w:p w14:paraId="1C41EC75">
      <w:pPr>
        <w:tabs>
          <w:tab w:val="left" w:pos="6341"/>
        </w:tabs>
        <w:spacing w:after="0" w:line="240" w:lineRule="auto"/>
        <w:ind w:right="-567"/>
        <w:jc w:val="center"/>
        <w:rPr>
          <w:rFonts w:hint="default" w:ascii="Tahoma" w:hAnsi="Tahoma" w:eastAsia="Times New Roman" w:cs="Tahoma"/>
          <w:b/>
          <w:sz w:val="24"/>
          <w:szCs w:val="24"/>
        </w:rPr>
      </w:pPr>
    </w:p>
    <w:p w14:paraId="74503F85">
      <w:pPr>
        <w:spacing w:after="0" w:line="240" w:lineRule="auto"/>
        <w:ind w:right="-567"/>
        <w:jc w:val="both"/>
        <w:rPr>
          <w:rFonts w:hint="default" w:ascii="Tahoma" w:hAnsi="Tahoma" w:eastAsia="Times New Roman" w:cs="Tahoma"/>
          <w:sz w:val="24"/>
          <w:szCs w:val="24"/>
          <w:lang w:val="ro-RO"/>
        </w:rPr>
      </w:pPr>
      <w:r>
        <w:rPr>
          <w:rFonts w:hint="default" w:ascii="Tahoma" w:hAnsi="Tahoma" w:eastAsia="Times New Roman" w:cs="Tahoma"/>
          <w:sz w:val="24"/>
          <w:szCs w:val="24"/>
        </w:rPr>
        <w:tab/>
      </w:r>
      <w:r>
        <w:rPr>
          <w:rFonts w:hint="default" w:ascii="Tahoma" w:hAnsi="Tahoma" w:eastAsia="Times New Roman" w:cs="Tahoma"/>
          <w:sz w:val="24"/>
          <w:szCs w:val="24"/>
          <w:lang w:val="it-IT"/>
        </w:rPr>
        <w:t>Av</w:t>
      </w:r>
      <w:r>
        <w:rPr>
          <w:rFonts w:hint="default" w:ascii="Tahoma" w:hAnsi="Tahoma" w:eastAsia="Times New Roman" w:cs="Tahoma"/>
          <w:sz w:val="24"/>
          <w:szCs w:val="24"/>
          <w:lang w:val="ro-RO"/>
        </w:rPr>
        <w:t>ând în vedere:</w:t>
      </w:r>
    </w:p>
    <w:p w14:paraId="45A1C89A">
      <w:pPr>
        <w:numPr>
          <w:ilvl w:val="0"/>
          <w:numId w:val="1"/>
        </w:numPr>
        <w:spacing w:after="0" w:line="240" w:lineRule="auto"/>
        <w:ind w:right="-567"/>
        <w:jc w:val="both"/>
        <w:rPr>
          <w:rFonts w:hint="default" w:ascii="Tahoma" w:hAnsi="Tahoma" w:eastAsia="Times New Roman" w:cs="Tahoma"/>
          <w:sz w:val="24"/>
          <w:szCs w:val="24"/>
          <w:lang w:val="ro-RO"/>
        </w:rPr>
      </w:pPr>
      <w:r>
        <w:rPr>
          <w:rFonts w:hint="default" w:ascii="Tahoma" w:hAnsi="Tahoma" w:eastAsia="Times New Roman" w:cs="Tahoma"/>
          <w:sz w:val="24"/>
          <w:szCs w:val="24"/>
          <w:lang w:val="ro-RO"/>
        </w:rPr>
        <w:t>prevederile art. 1 alin. ( 4), lit</w:t>
      </w:r>
      <w:r>
        <w:rPr>
          <w:rFonts w:hint="default" w:ascii="Tahoma" w:hAnsi="Tahoma" w:eastAsia="Times New Roman" w:cs="Tahoma"/>
          <w:sz w:val="24"/>
          <w:szCs w:val="24"/>
          <w:lang w:val="en-US"/>
        </w:rPr>
        <w:t>.</w:t>
      </w:r>
      <w:r>
        <w:rPr>
          <w:rFonts w:hint="default" w:ascii="Tahoma" w:hAnsi="Tahoma" w:eastAsia="Times New Roman" w:cs="Tahoma"/>
          <w:sz w:val="24"/>
          <w:szCs w:val="24"/>
          <w:lang w:val="ro-RO"/>
        </w:rPr>
        <w:t xml:space="preserve"> </w:t>
      </w:r>
      <w:r>
        <w:rPr>
          <w:rFonts w:hint="default" w:ascii="Tahoma" w:hAnsi="Tahoma" w:eastAsia="Times New Roman" w:cs="Tahoma"/>
          <w:sz w:val="24"/>
          <w:szCs w:val="24"/>
          <w:lang w:val="en-US"/>
        </w:rPr>
        <w:t>h)</w:t>
      </w:r>
      <w:r>
        <w:rPr>
          <w:rFonts w:hint="default" w:ascii="Tahoma" w:hAnsi="Tahoma" w:eastAsia="Times New Roman" w:cs="Tahoma"/>
          <w:sz w:val="24"/>
          <w:szCs w:val="24"/>
          <w:lang w:val="ro-RO"/>
        </w:rPr>
        <w:t>, art. 3, alin. (1) – (</w:t>
      </w:r>
      <w:r>
        <w:rPr>
          <w:rFonts w:hint="default" w:ascii="Tahoma" w:hAnsi="Tahoma" w:eastAsia="Times New Roman" w:cs="Tahoma"/>
          <w:sz w:val="24"/>
          <w:szCs w:val="24"/>
          <w:lang w:val="en-US"/>
        </w:rPr>
        <w:t>3)</w:t>
      </w:r>
      <w:r>
        <w:rPr>
          <w:rFonts w:hint="default" w:ascii="Tahoma" w:hAnsi="Tahoma" w:eastAsia="Times New Roman" w:cs="Tahoma"/>
          <w:sz w:val="24"/>
          <w:szCs w:val="24"/>
          <w:lang w:val="ro-RO"/>
        </w:rPr>
        <w:t>, art. 8, alin. (1) si alin. (3), litera d) și i) și art. 28 alin. (1) – (2) litera c)  din Legea nr. 51/2006 privind serviciile comunitare de utilitați publice cu completările și modificările ulterioare.</w:t>
      </w:r>
    </w:p>
    <w:p w14:paraId="6A999C60">
      <w:pPr>
        <w:numPr>
          <w:ilvl w:val="0"/>
          <w:numId w:val="1"/>
        </w:numPr>
        <w:spacing w:after="0" w:line="240" w:lineRule="auto"/>
        <w:ind w:right="-567"/>
        <w:jc w:val="both"/>
        <w:rPr>
          <w:rFonts w:hint="default" w:ascii="Tahoma" w:hAnsi="Tahoma" w:eastAsia="Times New Roman" w:cs="Tahoma"/>
          <w:sz w:val="24"/>
          <w:szCs w:val="24"/>
          <w:lang w:val="ro-RO"/>
        </w:rPr>
      </w:pPr>
      <w:r>
        <w:rPr>
          <w:rFonts w:hint="default" w:ascii="Tahoma" w:hAnsi="Tahoma" w:eastAsia="Times New Roman" w:cs="Tahoma"/>
          <w:sz w:val="24"/>
          <w:szCs w:val="24"/>
          <w:lang w:val="ro-RO"/>
        </w:rPr>
        <w:t xml:space="preserve">prevederile art. 2 alin. (1), art. 8, art. 12, alin. (1), litera e), și h), art. 17, alin. (1) și art. 19, alin. (2) – (3) din  Legea </w:t>
      </w:r>
      <w:r>
        <w:rPr>
          <w:rFonts w:hint="default" w:ascii="Tahoma" w:hAnsi="Tahoma" w:eastAsia="Times New Roman" w:cs="Tahoma"/>
          <w:bCs/>
          <w:sz w:val="24"/>
          <w:szCs w:val="24"/>
          <w:lang w:val="ro-RO"/>
        </w:rPr>
        <w:t xml:space="preserve">serviciului de alimentare cu apă şi de canalizare </w:t>
      </w:r>
      <w:r>
        <w:rPr>
          <w:rFonts w:hint="default" w:ascii="Tahoma" w:hAnsi="Tahoma" w:eastAsia="Times New Roman" w:cs="Tahoma"/>
          <w:sz w:val="24"/>
          <w:szCs w:val="24"/>
          <w:lang w:val="ro-RO"/>
        </w:rPr>
        <w:t>nr. 241</w:t>
      </w:r>
      <w:r>
        <w:rPr>
          <w:rFonts w:hint="default" w:ascii="Tahoma" w:hAnsi="Tahoma" w:eastAsia="Times New Roman" w:cs="Tahoma"/>
          <w:bCs/>
          <w:sz w:val="24"/>
          <w:szCs w:val="24"/>
          <w:lang w:val="ro-RO"/>
        </w:rPr>
        <w:t xml:space="preserve">/2006 </w:t>
      </w:r>
      <w:r>
        <w:rPr>
          <w:rFonts w:hint="default" w:ascii="Tahoma" w:hAnsi="Tahoma" w:eastAsia="Times New Roman" w:cs="Tahoma"/>
          <w:sz w:val="24"/>
          <w:szCs w:val="24"/>
          <w:lang w:val="ro-RO"/>
        </w:rPr>
        <w:t>modificată și completată prin Legea 224/30.07.2015.</w:t>
      </w:r>
      <w:r>
        <w:rPr>
          <w:rFonts w:hint="default" w:ascii="Tahoma" w:hAnsi="Tahoma" w:eastAsia="Times New Roman" w:cs="Tahoma"/>
          <w:sz w:val="24"/>
          <w:szCs w:val="24"/>
          <w:lang w:val="ro-RO"/>
        </w:rPr>
        <w:tab/>
      </w:r>
    </w:p>
    <w:p w14:paraId="0F622005">
      <w:pPr>
        <w:numPr>
          <w:ilvl w:val="0"/>
          <w:numId w:val="1"/>
        </w:numPr>
        <w:spacing w:after="0" w:line="240" w:lineRule="auto"/>
        <w:ind w:right="-567"/>
        <w:jc w:val="both"/>
        <w:rPr>
          <w:rFonts w:hint="default" w:ascii="Tahoma" w:hAnsi="Tahoma" w:eastAsia="Times New Roman" w:cs="Tahoma"/>
          <w:sz w:val="24"/>
          <w:szCs w:val="24"/>
          <w:lang w:val="ro-RO"/>
        </w:rPr>
      </w:pPr>
      <w:r>
        <w:rPr>
          <w:rFonts w:hint="default" w:ascii="Tahoma" w:hAnsi="Tahoma" w:eastAsia="Times New Roman" w:cs="Tahoma"/>
          <w:sz w:val="24"/>
          <w:szCs w:val="24"/>
          <w:lang w:val="ro-RO"/>
        </w:rPr>
        <w:t>prevederile art.</w:t>
      </w:r>
      <w:r>
        <w:rPr>
          <w:rFonts w:hint="default" w:ascii="Tahoma" w:hAnsi="Tahoma" w:eastAsia="Times New Roman" w:cs="Tahoma"/>
          <w:sz w:val="24"/>
          <w:szCs w:val="24"/>
          <w:lang w:val="en-US"/>
        </w:rPr>
        <w:t xml:space="preserve"> </w:t>
      </w:r>
      <w:r>
        <w:rPr>
          <w:rFonts w:hint="default" w:ascii="Tahoma" w:hAnsi="Tahoma" w:eastAsia="Times New Roman" w:cs="Tahoma"/>
          <w:sz w:val="24"/>
          <w:szCs w:val="24"/>
          <w:lang w:val="ro-RO"/>
        </w:rPr>
        <w:t>II.</w:t>
      </w:r>
      <w:r>
        <w:rPr>
          <w:rFonts w:hint="default" w:ascii="Tahoma" w:hAnsi="Tahoma" w:eastAsia="Times New Roman" w:cs="Tahoma"/>
          <w:sz w:val="24"/>
          <w:szCs w:val="24"/>
          <w:lang w:val="en-US"/>
        </w:rPr>
        <w:t xml:space="preserve"> </w:t>
      </w:r>
      <w:r>
        <w:rPr>
          <w:rFonts w:hint="default" w:ascii="Tahoma" w:hAnsi="Tahoma" w:eastAsia="Times New Roman" w:cs="Tahoma"/>
          <w:sz w:val="24"/>
          <w:szCs w:val="24"/>
          <w:lang w:val="ro-RO"/>
        </w:rPr>
        <w:t>4.3.1 din Legegea nr.48/2025 privind aprobarea Politicii publice de proprietate privata a statului .</w:t>
      </w:r>
    </w:p>
    <w:p w14:paraId="41600667">
      <w:pPr>
        <w:numPr>
          <w:ilvl w:val="0"/>
          <w:numId w:val="1"/>
        </w:numPr>
        <w:spacing w:after="0" w:line="240" w:lineRule="auto"/>
        <w:ind w:right="-567"/>
        <w:jc w:val="both"/>
        <w:rPr>
          <w:rFonts w:hint="default" w:ascii="Tahoma" w:hAnsi="Tahoma" w:eastAsia="Times New Roman" w:cs="Tahoma"/>
          <w:sz w:val="24"/>
          <w:szCs w:val="24"/>
          <w:lang w:val="ro-RO"/>
        </w:rPr>
      </w:pPr>
      <w:r>
        <w:rPr>
          <w:rFonts w:hint="default" w:ascii="Tahoma" w:hAnsi="Tahoma" w:eastAsia="Times New Roman" w:cs="Tahoma"/>
          <w:sz w:val="24"/>
          <w:szCs w:val="24"/>
          <w:lang w:val="ro-RO"/>
        </w:rPr>
        <w:t>prevederile art.</w:t>
      </w:r>
      <w:r>
        <w:rPr>
          <w:rFonts w:hint="default" w:ascii="Tahoma" w:hAnsi="Tahoma" w:eastAsia="Times New Roman" w:cs="Tahoma"/>
          <w:sz w:val="24"/>
          <w:szCs w:val="24"/>
          <w:lang w:val="en-US"/>
        </w:rPr>
        <w:t xml:space="preserve"> </w:t>
      </w:r>
      <w:r>
        <w:rPr>
          <w:rFonts w:hint="default" w:ascii="Tahoma" w:hAnsi="Tahoma" w:eastAsia="Times New Roman" w:cs="Tahoma"/>
          <w:sz w:val="24"/>
          <w:szCs w:val="24"/>
          <w:lang w:val="ro-RO"/>
        </w:rPr>
        <w:t>II din Legea nr.</w:t>
      </w:r>
      <w:r>
        <w:rPr>
          <w:rFonts w:hint="default" w:ascii="Tahoma" w:hAnsi="Tahoma" w:eastAsia="Times New Roman" w:cs="Tahoma"/>
          <w:sz w:val="24"/>
          <w:szCs w:val="24"/>
          <w:lang w:val="en-US"/>
        </w:rPr>
        <w:t xml:space="preserve"> </w:t>
      </w:r>
      <w:r>
        <w:rPr>
          <w:rFonts w:hint="default" w:ascii="Tahoma" w:hAnsi="Tahoma" w:eastAsia="Times New Roman" w:cs="Tahoma"/>
          <w:sz w:val="24"/>
          <w:szCs w:val="24"/>
          <w:lang w:val="ro-RO"/>
        </w:rPr>
        <w:t>158/2025 pentru modificarea si completarea Ordonantei de urgenta a Guvernului nr.109/2011 privind guvernanta corporativa a intreprinderilor publice.</w:t>
      </w:r>
    </w:p>
    <w:p w14:paraId="62146B18">
      <w:pPr>
        <w:numPr>
          <w:ilvl w:val="0"/>
          <w:numId w:val="1"/>
        </w:numPr>
        <w:spacing w:after="0" w:line="240" w:lineRule="auto"/>
        <w:ind w:right="-567"/>
        <w:contextualSpacing/>
        <w:jc w:val="both"/>
        <w:rPr>
          <w:rFonts w:hint="default" w:ascii="Tahoma" w:hAnsi="Tahoma" w:eastAsia="Times New Roman" w:cs="Tahoma"/>
          <w:bCs/>
          <w:color w:val="000000" w:themeColor="text1"/>
          <w:sz w:val="24"/>
          <w:szCs w:val="24"/>
          <w:lang w:val="ro-RO"/>
          <w14:textFill>
            <w14:solidFill>
              <w14:schemeClr w14:val="tx1"/>
            </w14:solidFill>
          </w14:textFill>
        </w:rPr>
      </w:pPr>
      <w:r>
        <w:rPr>
          <w:rFonts w:hint="default" w:ascii="Tahoma" w:hAnsi="Tahoma" w:eastAsia="Times New Roman" w:cs="Tahoma"/>
          <w:sz w:val="24"/>
          <w:szCs w:val="24"/>
          <w:lang w:val="ro-RO"/>
        </w:rPr>
        <w:t>Raportul  de aprobare prezentat de primarul comunei</w:t>
      </w:r>
      <w:r>
        <w:rPr>
          <w:rFonts w:hint="default" w:ascii="Tahoma" w:hAnsi="Tahoma" w:eastAsia="Times New Roman" w:cs="Tahoma"/>
          <w:sz w:val="24"/>
          <w:szCs w:val="24"/>
          <w:lang w:val="en-US"/>
        </w:rPr>
        <w:t xml:space="preserve"> ANDRASESTI</w:t>
      </w:r>
      <w:r>
        <w:rPr>
          <w:rFonts w:hint="default" w:ascii="Tahoma" w:hAnsi="Tahoma" w:eastAsia="Times New Roman" w:cs="Tahoma"/>
          <w:sz w:val="24"/>
          <w:szCs w:val="24"/>
          <w:lang w:val="ro-RO"/>
        </w:rPr>
        <w:t>,  nr.1</w:t>
      </w:r>
      <w:r>
        <w:rPr>
          <w:rFonts w:hint="default" w:ascii="Tahoma" w:hAnsi="Tahoma" w:eastAsia="Times New Roman" w:cs="Tahoma"/>
          <w:sz w:val="24"/>
          <w:szCs w:val="24"/>
          <w:lang w:val="en-US"/>
        </w:rPr>
        <w:t>462</w:t>
      </w:r>
      <w:r>
        <w:rPr>
          <w:rFonts w:hint="default" w:ascii="Tahoma" w:hAnsi="Tahoma" w:eastAsia="Times New Roman" w:cs="Tahoma"/>
          <w:sz w:val="24"/>
          <w:szCs w:val="24"/>
          <w:lang w:val="ro-RO"/>
        </w:rPr>
        <w:t>/</w:t>
      </w:r>
      <w:r>
        <w:rPr>
          <w:rFonts w:hint="default" w:ascii="Tahoma" w:hAnsi="Tahoma" w:eastAsia="Times New Roman" w:cs="Tahoma"/>
          <w:sz w:val="24"/>
          <w:szCs w:val="24"/>
          <w:lang w:val="en-US"/>
        </w:rPr>
        <w:t>2</w:t>
      </w:r>
      <w:r>
        <w:rPr>
          <w:rFonts w:hint="default" w:ascii="Tahoma" w:hAnsi="Tahoma" w:eastAsia="Times New Roman" w:cs="Tahoma"/>
          <w:sz w:val="24"/>
          <w:szCs w:val="24"/>
          <w:lang w:val="ro-RO"/>
        </w:rPr>
        <w:t>1.04.2026,</w:t>
      </w:r>
    </w:p>
    <w:p w14:paraId="22110650">
      <w:pPr>
        <w:numPr>
          <w:ilvl w:val="0"/>
          <w:numId w:val="1"/>
        </w:numPr>
        <w:spacing w:after="0" w:line="240" w:lineRule="auto"/>
        <w:ind w:right="-567"/>
        <w:contextualSpacing/>
        <w:jc w:val="both"/>
        <w:rPr>
          <w:rFonts w:hint="default" w:ascii="Tahoma" w:hAnsi="Tahoma" w:eastAsia="Times New Roman" w:cs="Tahoma"/>
          <w:bCs/>
          <w:color w:val="000000" w:themeColor="text1"/>
          <w:sz w:val="24"/>
          <w:szCs w:val="24"/>
          <w:lang w:val="ro-RO"/>
          <w14:textFill>
            <w14:solidFill>
              <w14:schemeClr w14:val="tx1"/>
            </w14:solidFill>
          </w14:textFill>
        </w:rPr>
      </w:pPr>
      <w:r>
        <w:rPr>
          <w:rFonts w:hint="default" w:ascii="Tahoma" w:hAnsi="Tahoma" w:eastAsia="Times New Roman" w:cs="Tahoma"/>
          <w:sz w:val="24"/>
          <w:szCs w:val="24"/>
          <w:lang w:val="ro-RO"/>
        </w:rPr>
        <w:t xml:space="preserve">referatul întocmit de viceprimarul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ro-RO"/>
        </w:rPr>
        <w:t xml:space="preserve"> , nr.1</w:t>
      </w:r>
      <w:r>
        <w:rPr>
          <w:rFonts w:hint="default" w:ascii="Tahoma" w:hAnsi="Tahoma" w:eastAsia="Times New Roman" w:cs="Tahoma"/>
          <w:sz w:val="24"/>
          <w:szCs w:val="24"/>
          <w:lang w:val="en-US"/>
        </w:rPr>
        <w:t>461</w:t>
      </w:r>
      <w:r>
        <w:rPr>
          <w:rFonts w:hint="default" w:ascii="Tahoma" w:hAnsi="Tahoma" w:eastAsia="Times New Roman" w:cs="Tahoma"/>
          <w:sz w:val="24"/>
          <w:szCs w:val="24"/>
          <w:lang w:val="ro-RO"/>
        </w:rPr>
        <w:t>/</w:t>
      </w:r>
      <w:r>
        <w:rPr>
          <w:rFonts w:hint="default" w:ascii="Tahoma" w:hAnsi="Tahoma" w:eastAsia="Times New Roman" w:cs="Tahoma"/>
          <w:sz w:val="24"/>
          <w:szCs w:val="24"/>
          <w:lang w:val="en-US"/>
        </w:rPr>
        <w:t>2</w:t>
      </w:r>
      <w:r>
        <w:rPr>
          <w:rFonts w:hint="default" w:ascii="Tahoma" w:hAnsi="Tahoma" w:eastAsia="Times New Roman" w:cs="Tahoma"/>
          <w:sz w:val="24"/>
          <w:szCs w:val="24"/>
          <w:lang w:val="ro-RO"/>
        </w:rPr>
        <w:t xml:space="preserve">1.04.2026. </w:t>
      </w:r>
    </w:p>
    <w:p w14:paraId="3D23F5D7">
      <w:pPr>
        <w:numPr>
          <w:ilvl w:val="0"/>
          <w:numId w:val="1"/>
        </w:numPr>
        <w:spacing w:after="0" w:line="240" w:lineRule="auto"/>
        <w:ind w:right="-567"/>
        <w:contextualSpacing/>
        <w:jc w:val="both"/>
        <w:rPr>
          <w:rFonts w:hint="default" w:ascii="Tahoma" w:hAnsi="Tahoma" w:eastAsia="Times New Roman" w:cs="Tahoma"/>
          <w:sz w:val="24"/>
          <w:szCs w:val="24"/>
          <w:lang w:val="ro-RO"/>
        </w:rPr>
      </w:pPr>
      <w:r>
        <w:rPr>
          <w:rFonts w:hint="default" w:ascii="Tahoma" w:hAnsi="Tahoma" w:eastAsia="Times New Roman" w:cs="Tahoma"/>
          <w:sz w:val="24"/>
          <w:szCs w:val="24"/>
          <w:lang w:val="en-US"/>
        </w:rPr>
        <w:t>Avizele comisiilor de specialitate ale consiliului local  Andrasesti nr. 1463,1464 si 1465 din 21.04.2026</w:t>
      </w:r>
      <w:r>
        <w:rPr>
          <w:rFonts w:hint="default" w:ascii="Tahoma" w:hAnsi="Tahoma" w:eastAsia="Times New Roman" w:cs="Tahoma"/>
          <w:sz w:val="24"/>
          <w:szCs w:val="24"/>
          <w:lang w:val="en-US"/>
        </w:rPr>
        <w:tab/>
      </w:r>
    </w:p>
    <w:p w14:paraId="2FE57F45">
      <w:pPr>
        <w:numPr>
          <w:ilvl w:val="0"/>
          <w:numId w:val="0"/>
        </w:numPr>
        <w:spacing w:after="0" w:line="240" w:lineRule="auto"/>
        <w:ind w:left="360" w:leftChars="0" w:right="-567" w:rightChars="0" w:firstLine="716" w:firstLineChars="0"/>
        <w:contextualSpacing/>
        <w:jc w:val="both"/>
        <w:rPr>
          <w:rFonts w:hint="default" w:ascii="Tahoma" w:hAnsi="Tahoma" w:eastAsia="Times New Roman" w:cs="Tahoma"/>
          <w:sz w:val="24"/>
          <w:szCs w:val="24"/>
          <w:lang w:val="ro-RO"/>
        </w:rPr>
      </w:pPr>
      <w:r>
        <w:rPr>
          <w:rFonts w:hint="default" w:ascii="Tahoma" w:hAnsi="Tahoma" w:eastAsia="Times New Roman" w:cs="Tahoma"/>
          <w:sz w:val="24"/>
          <w:szCs w:val="24"/>
          <w:lang w:val="fr-FR"/>
        </w:rPr>
        <w:t>In temeiul prevederilor art</w:t>
      </w:r>
      <w:r>
        <w:rPr>
          <w:rFonts w:hint="default" w:ascii="Tahoma" w:hAnsi="Tahoma" w:eastAsia="Times New Roman" w:cs="Tahoma"/>
          <w:sz w:val="24"/>
          <w:szCs w:val="24"/>
          <w:lang w:val="ro-RO"/>
        </w:rPr>
        <w:t xml:space="preserve">. 129 al. 2 lit. c , al. 2 lit. d al. 7 lit. n din OUG 57/2019 privind Codul Administrativ, cu modificarile  si completarile ulterioare. </w:t>
      </w:r>
    </w:p>
    <w:p w14:paraId="15515F2F">
      <w:pPr>
        <w:spacing w:after="0" w:line="240" w:lineRule="auto"/>
        <w:ind w:left="720" w:right="-567"/>
        <w:jc w:val="both"/>
        <w:rPr>
          <w:rFonts w:hint="default" w:ascii="Tahoma" w:hAnsi="Tahoma" w:eastAsia="Times New Roman" w:cs="Tahoma"/>
          <w:sz w:val="24"/>
          <w:szCs w:val="24"/>
          <w:lang w:val="ro-RO"/>
        </w:rPr>
      </w:pPr>
    </w:p>
    <w:p w14:paraId="10E3B6D5">
      <w:pPr>
        <w:spacing w:after="0" w:line="240" w:lineRule="auto"/>
        <w:ind w:right="-567"/>
        <w:jc w:val="center"/>
        <w:rPr>
          <w:rFonts w:hint="default" w:ascii="Tahoma" w:hAnsi="Tahoma" w:eastAsia="Times New Roman" w:cs="Tahoma"/>
          <w:b/>
          <w:sz w:val="24"/>
          <w:szCs w:val="24"/>
          <w:lang w:val="fr-FR"/>
        </w:rPr>
      </w:pPr>
      <w:r>
        <w:rPr>
          <w:rFonts w:hint="default" w:ascii="Tahoma" w:hAnsi="Tahoma" w:eastAsia="Times New Roman" w:cs="Tahoma"/>
          <w:b/>
          <w:sz w:val="24"/>
          <w:szCs w:val="24"/>
          <w:lang w:val="fr-FR"/>
        </w:rPr>
        <w:t>HOTĂRĂŞTE</w:t>
      </w:r>
    </w:p>
    <w:p w14:paraId="103533A6">
      <w:pPr>
        <w:spacing w:after="0" w:line="240" w:lineRule="auto"/>
        <w:ind w:right="-567"/>
        <w:jc w:val="center"/>
        <w:rPr>
          <w:rFonts w:hint="default" w:ascii="Tahoma" w:hAnsi="Tahoma" w:eastAsia="Times New Roman" w:cs="Tahoma"/>
          <w:b/>
          <w:sz w:val="24"/>
          <w:szCs w:val="24"/>
          <w:lang w:val="fr-FR"/>
        </w:rPr>
      </w:pPr>
    </w:p>
    <w:p w14:paraId="1F16EB90">
      <w:pPr>
        <w:spacing w:after="0" w:line="240" w:lineRule="auto"/>
        <w:ind w:right="-567" w:firstLine="720"/>
        <w:jc w:val="both"/>
        <w:rPr>
          <w:rFonts w:hint="default" w:ascii="Tahoma" w:hAnsi="Tahoma" w:eastAsia="Times New Roman" w:cs="Tahoma"/>
          <w:sz w:val="24"/>
          <w:szCs w:val="24"/>
          <w:lang w:val="it-IT"/>
        </w:rPr>
      </w:pPr>
      <w:r>
        <w:rPr>
          <w:rFonts w:hint="default" w:ascii="Tahoma" w:hAnsi="Tahoma" w:eastAsia="Times New Roman" w:cs="Tahoma"/>
          <w:b/>
          <w:sz w:val="24"/>
          <w:szCs w:val="24"/>
          <w:lang w:val="it-IT"/>
        </w:rPr>
        <w:t xml:space="preserve">Art. 1. </w:t>
      </w:r>
      <w:r>
        <w:rPr>
          <w:rFonts w:hint="default" w:ascii="Tahoma" w:hAnsi="Tahoma" w:eastAsia="Times New Roman" w:cs="Tahoma"/>
          <w:sz w:val="24"/>
          <w:szCs w:val="24"/>
          <w:lang w:val="it-IT"/>
        </w:rPr>
        <w:t>(1)</w:t>
      </w:r>
      <w:r>
        <w:rPr>
          <w:rFonts w:hint="default" w:ascii="Tahoma" w:hAnsi="Tahoma" w:eastAsia="Times New Roman" w:cs="Tahoma"/>
          <w:b/>
          <w:sz w:val="24"/>
          <w:szCs w:val="24"/>
          <w:lang w:val="it-IT"/>
        </w:rPr>
        <w:t xml:space="preserve"> </w:t>
      </w:r>
      <w:r>
        <w:rPr>
          <w:rFonts w:hint="default" w:ascii="Tahoma" w:hAnsi="Tahoma" w:eastAsia="Times New Roman" w:cs="Tahoma"/>
          <w:sz w:val="24"/>
          <w:szCs w:val="24"/>
          <w:lang w:val="it-IT"/>
        </w:rPr>
        <w:t>Se aprobă înfiinţarea</w:t>
      </w:r>
      <w:r>
        <w:rPr>
          <w:rFonts w:hint="default" w:ascii="Tahoma" w:hAnsi="Tahoma" w:eastAsia="Times New Roman" w:cs="Tahoma"/>
          <w:sz w:val="24"/>
          <w:szCs w:val="24"/>
          <w:lang w:val="en-US"/>
        </w:rPr>
        <w:t xml:space="preserve"> </w:t>
      </w:r>
      <w:r>
        <w:rPr>
          <w:rFonts w:hint="default" w:ascii="Tahoma" w:hAnsi="Tahoma" w:eastAsia="Times New Roman" w:cs="Tahoma"/>
          <w:sz w:val="24"/>
          <w:szCs w:val="24"/>
          <w:lang w:val="it-IT"/>
        </w:rPr>
        <w:t xml:space="preserve">Serviciului Public de Alimentare cu Apă și de Canalizare al comunei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it-IT"/>
        </w:rPr>
        <w:t xml:space="preserve"> în serviciu public de interes local sub denumirea de </w:t>
      </w:r>
      <w:r>
        <w:rPr>
          <w:rFonts w:hint="default" w:ascii="Tahoma" w:hAnsi="Tahoma" w:eastAsia="Times New Roman" w:cs="Tahoma"/>
          <w:b/>
          <w:bCs/>
          <w:sz w:val="24"/>
          <w:szCs w:val="24"/>
          <w:lang w:val="it-IT"/>
        </w:rPr>
        <w:t xml:space="preserve">“Serviciul Public de Alimentare cu Apa si Canalizare al comunei </w:t>
      </w:r>
      <w:r>
        <w:rPr>
          <w:rFonts w:hint="default" w:ascii="Tahoma" w:hAnsi="Tahoma" w:eastAsia="Times New Roman" w:cs="Tahoma"/>
          <w:b/>
          <w:bCs/>
          <w:sz w:val="24"/>
          <w:szCs w:val="24"/>
          <w:lang w:val="en-US"/>
        </w:rPr>
        <w:t>ANDRASESTI</w:t>
      </w:r>
      <w:r>
        <w:rPr>
          <w:rFonts w:hint="default" w:ascii="Tahoma" w:hAnsi="Tahoma" w:eastAsia="Times New Roman" w:cs="Tahoma"/>
          <w:b/>
          <w:bCs/>
          <w:sz w:val="24"/>
          <w:szCs w:val="24"/>
          <w:lang w:val="it-IT"/>
        </w:rPr>
        <w:t>“</w:t>
      </w:r>
      <w:r>
        <w:rPr>
          <w:rFonts w:hint="default" w:ascii="Tahoma" w:hAnsi="Tahoma" w:eastAsia="Times New Roman" w:cs="Tahoma"/>
          <w:sz w:val="24"/>
          <w:szCs w:val="24"/>
          <w:lang w:val="it-IT"/>
        </w:rPr>
        <w:t xml:space="preserve">, cu personalitate juridică în subordinea Consiliului Local </w:t>
      </w:r>
      <w:r>
        <w:rPr>
          <w:rFonts w:hint="default" w:ascii="Tahoma" w:hAnsi="Tahoma" w:eastAsia="Times New Roman" w:cs="Tahoma"/>
          <w:sz w:val="24"/>
          <w:szCs w:val="24"/>
          <w:lang w:val="en-US"/>
        </w:rPr>
        <w:t>ANDRASESTI</w:t>
      </w:r>
      <w:r>
        <w:rPr>
          <w:rFonts w:hint="default" w:ascii="Tahoma" w:hAnsi="Tahoma" w:eastAsia="Times New Roman" w:cs="Tahoma"/>
          <w:sz w:val="24"/>
          <w:szCs w:val="24"/>
          <w:lang w:val="it-IT"/>
        </w:rPr>
        <w:t xml:space="preserve">. </w:t>
      </w:r>
    </w:p>
    <w:p w14:paraId="4D57BC4B">
      <w:pPr>
        <w:spacing w:after="0" w:line="240" w:lineRule="auto"/>
        <w:ind w:right="-567" w:firstLine="720"/>
        <w:jc w:val="both"/>
        <w:rPr>
          <w:rFonts w:hint="default" w:ascii="Tahoma" w:hAnsi="Tahoma" w:eastAsia="Times New Roman" w:cs="Tahoma"/>
          <w:sz w:val="24"/>
          <w:szCs w:val="24"/>
          <w:lang w:val="it-IT"/>
        </w:rPr>
      </w:pPr>
      <w:r>
        <w:rPr>
          <w:rFonts w:hint="default" w:ascii="Tahoma" w:hAnsi="Tahoma" w:eastAsia="Times New Roman" w:cs="Tahoma"/>
          <w:sz w:val="24"/>
          <w:szCs w:val="24"/>
          <w:lang w:val="it-IT"/>
        </w:rPr>
        <w:tab/>
      </w:r>
      <w:r>
        <w:rPr>
          <w:rFonts w:hint="default" w:ascii="Tahoma" w:hAnsi="Tahoma" w:eastAsia="Times New Roman" w:cs="Tahoma"/>
          <w:sz w:val="24"/>
          <w:szCs w:val="24"/>
          <w:lang w:val="it-IT"/>
        </w:rPr>
        <w:t xml:space="preserve">(2) </w:t>
      </w:r>
      <w:r>
        <w:rPr>
          <w:rFonts w:hint="default" w:ascii="Tahoma" w:hAnsi="Tahoma" w:eastAsia="Times New Roman" w:cs="Tahoma"/>
          <w:b/>
          <w:bCs/>
          <w:sz w:val="24"/>
          <w:szCs w:val="24"/>
          <w:lang w:val="it-IT"/>
        </w:rPr>
        <w:t xml:space="preserve">“Serviciul Public de Alimentare cu Apa si Canalizare al comunei </w:t>
      </w:r>
      <w:r>
        <w:rPr>
          <w:rFonts w:hint="default" w:ascii="Tahoma" w:hAnsi="Tahoma" w:eastAsia="Times New Roman" w:cs="Tahoma"/>
          <w:b/>
          <w:bCs/>
          <w:sz w:val="24"/>
          <w:szCs w:val="24"/>
          <w:lang w:val="en-US"/>
        </w:rPr>
        <w:t>ANDRASESTI</w:t>
      </w:r>
      <w:r>
        <w:rPr>
          <w:rFonts w:hint="default" w:ascii="Tahoma" w:hAnsi="Tahoma" w:eastAsia="Times New Roman" w:cs="Tahoma"/>
          <w:b/>
          <w:bCs/>
          <w:sz w:val="24"/>
          <w:szCs w:val="24"/>
          <w:lang w:val="it-IT"/>
        </w:rPr>
        <w:t xml:space="preserve"> “</w:t>
      </w:r>
      <w:r>
        <w:rPr>
          <w:rFonts w:hint="default" w:ascii="Tahoma" w:hAnsi="Tahoma" w:eastAsia="Times New Roman" w:cs="Tahoma"/>
          <w:sz w:val="24"/>
          <w:szCs w:val="24"/>
          <w:lang w:val="it-IT"/>
        </w:rPr>
        <w:t>, are patrimoniu propriu, funcționează pe bază de gestiune economică și se bucură de autonomie financiară și funcțională, este subiect juridic de drept fiscal, întocmește în condițiile legii buget de venituri și cheltuieli și situații financiare anuale.</w:t>
      </w:r>
    </w:p>
    <w:p w14:paraId="39DF5FF0">
      <w:pPr>
        <w:spacing w:after="0" w:line="240" w:lineRule="auto"/>
        <w:ind w:right="-567" w:firstLine="720"/>
        <w:jc w:val="both"/>
        <w:rPr>
          <w:rFonts w:hint="default" w:ascii="Tahoma" w:hAnsi="Tahoma" w:eastAsia="Times New Roman" w:cs="Tahoma"/>
          <w:sz w:val="24"/>
          <w:szCs w:val="24"/>
          <w:lang w:val="it-IT"/>
        </w:rPr>
      </w:pPr>
      <w:r>
        <w:rPr>
          <w:rFonts w:hint="default" w:ascii="Tahoma" w:hAnsi="Tahoma" w:eastAsia="Times New Roman" w:cs="Tahoma"/>
          <w:sz w:val="24"/>
          <w:szCs w:val="24"/>
          <w:lang w:val="it-IT"/>
        </w:rPr>
        <w:tab/>
      </w:r>
      <w:r>
        <w:rPr>
          <w:rFonts w:hint="default" w:ascii="Tahoma" w:hAnsi="Tahoma" w:eastAsia="Times New Roman" w:cs="Tahoma"/>
          <w:sz w:val="24"/>
          <w:szCs w:val="24"/>
          <w:lang w:val="it-IT"/>
        </w:rPr>
        <w:t>(3) Serviciul de alimentare cu apă furnizat este pentru activitățile de captare, tratare, înmagazinare și distribuție apa cod CAEN 3600.</w:t>
      </w:r>
    </w:p>
    <w:p w14:paraId="654C057B">
      <w:pPr>
        <w:spacing w:after="0" w:line="240" w:lineRule="auto"/>
        <w:ind w:right="-567" w:firstLine="720"/>
        <w:jc w:val="both"/>
        <w:rPr>
          <w:rFonts w:hint="default" w:ascii="Tahoma" w:hAnsi="Tahoma" w:eastAsia="Times New Roman" w:cs="Tahoma"/>
          <w:sz w:val="24"/>
          <w:szCs w:val="24"/>
          <w:lang w:val="it-IT"/>
        </w:rPr>
      </w:pPr>
      <w:r>
        <w:rPr>
          <w:rFonts w:hint="default" w:ascii="Tahoma" w:hAnsi="Tahoma" w:eastAsia="Times New Roman" w:cs="Tahoma"/>
          <w:sz w:val="24"/>
          <w:szCs w:val="24"/>
          <w:lang w:val="it-IT"/>
        </w:rPr>
        <w:t xml:space="preserve">           (4) Serviciul de canalizare este pentru activitățile de canalizarea și epurarea apelor uzate cod CAEN 3700.</w:t>
      </w:r>
    </w:p>
    <w:p w14:paraId="65D14D46">
      <w:pPr>
        <w:spacing w:after="0" w:line="240" w:lineRule="auto"/>
        <w:ind w:right="-567" w:firstLine="720"/>
        <w:jc w:val="both"/>
        <w:rPr>
          <w:rFonts w:hint="default" w:ascii="Tahoma" w:hAnsi="Tahoma" w:eastAsia="Times New Roman" w:cs="Tahoma"/>
          <w:sz w:val="24"/>
          <w:szCs w:val="24"/>
          <w:lang w:val="ro-RO"/>
        </w:rPr>
      </w:pPr>
      <w:r>
        <w:rPr>
          <w:rFonts w:hint="default" w:ascii="Tahoma" w:hAnsi="Tahoma" w:eastAsia="Times New Roman" w:cs="Tahoma"/>
          <w:b/>
          <w:sz w:val="24"/>
          <w:szCs w:val="24"/>
          <w:lang w:val="it-IT"/>
        </w:rPr>
        <w:t xml:space="preserve">Art. 2. </w:t>
      </w:r>
      <w:r>
        <w:rPr>
          <w:rFonts w:hint="default" w:ascii="Tahoma" w:hAnsi="Tahoma" w:eastAsia="Times New Roman" w:cs="Tahoma"/>
          <w:sz w:val="24"/>
          <w:szCs w:val="24"/>
          <w:lang w:val="ro-RO"/>
        </w:rPr>
        <w:t xml:space="preserve">Prezenta hotărâre se comunică primarului comunei </w:t>
      </w:r>
      <w:r>
        <w:rPr>
          <w:rFonts w:hint="default" w:ascii="Tahoma" w:hAnsi="Tahoma" w:eastAsia="Times New Roman" w:cs="Tahoma"/>
          <w:sz w:val="24"/>
          <w:szCs w:val="24"/>
          <w:lang w:val="en-US"/>
        </w:rPr>
        <w:t xml:space="preserve">ANDRASESTI </w:t>
      </w:r>
      <w:r>
        <w:rPr>
          <w:rFonts w:hint="default" w:ascii="Tahoma" w:hAnsi="Tahoma" w:eastAsia="Times New Roman" w:cs="Tahoma"/>
          <w:sz w:val="24"/>
          <w:szCs w:val="24"/>
          <w:lang w:val="ro-RO"/>
        </w:rPr>
        <w:t xml:space="preserve">pentru ducere la îndeplinire și Instituției prefectului – Județul </w:t>
      </w:r>
      <w:r>
        <w:rPr>
          <w:rFonts w:hint="default" w:ascii="Tahoma" w:hAnsi="Tahoma" w:eastAsia="Times New Roman" w:cs="Tahoma"/>
          <w:sz w:val="24"/>
          <w:szCs w:val="24"/>
          <w:lang w:val="en-US"/>
        </w:rPr>
        <w:t>IALOMITA</w:t>
      </w:r>
      <w:r>
        <w:rPr>
          <w:rFonts w:hint="default" w:ascii="Tahoma" w:hAnsi="Tahoma" w:eastAsia="Times New Roman" w:cs="Tahoma"/>
          <w:sz w:val="24"/>
          <w:szCs w:val="24"/>
          <w:lang w:val="ro-RO"/>
        </w:rPr>
        <w:t xml:space="preserve">. </w:t>
      </w:r>
    </w:p>
    <w:p w14:paraId="298E6A6C">
      <w:pPr>
        <w:spacing w:after="0" w:line="240" w:lineRule="auto"/>
        <w:ind w:right="-567"/>
        <w:jc w:val="both"/>
        <w:rPr>
          <w:rFonts w:hint="default" w:ascii="Tahoma" w:hAnsi="Tahoma" w:eastAsia="Times New Roman" w:cs="Tahoma"/>
          <w:sz w:val="24"/>
          <w:szCs w:val="24"/>
          <w:lang w:val="ro-RO"/>
        </w:rPr>
      </w:pPr>
    </w:p>
    <w:p w14:paraId="3607A7D9">
      <w:pPr>
        <w:spacing w:line="240" w:lineRule="auto"/>
        <w:rPr>
          <w:rFonts w:hint="default" w:ascii="Tahoma" w:hAnsi="Tahoma" w:cs="Tahoma"/>
          <w:sz w:val="24"/>
          <w:szCs w:val="24"/>
        </w:rPr>
      </w:pPr>
      <w:r>
        <w:rPr>
          <w:rFonts w:hint="default" w:ascii="Tahoma" w:hAnsi="Tahoma" w:cs="Tahoma"/>
          <w:sz w:val="24"/>
          <w:szCs w:val="24"/>
        </w:rPr>
        <w:t xml:space="preserve">       </w:t>
      </w:r>
      <w:r>
        <w:rPr>
          <w:rFonts w:hint="default" w:ascii="Tahoma" w:hAnsi="Tahoma" w:cs="Tahoma"/>
          <w:sz w:val="24"/>
          <w:szCs w:val="24"/>
          <w:lang w:val="en-US"/>
        </w:rPr>
        <w:t>PRESEDINTE DE SEDINTA</w:t>
      </w:r>
      <w:r>
        <w:rPr>
          <w:rFonts w:hint="default" w:ascii="Tahoma" w:hAnsi="Tahoma" w:cs="Tahoma"/>
          <w:sz w:val="24"/>
          <w:szCs w:val="24"/>
        </w:rPr>
        <w:t xml:space="preserve">                                                  Avizeaza pentru legalitate , </w:t>
      </w:r>
    </w:p>
    <w:p w14:paraId="1E8BBFF8">
      <w:pPr>
        <w:spacing w:line="240" w:lineRule="auto"/>
        <w:rPr>
          <w:rFonts w:hint="default" w:ascii="Tahoma" w:hAnsi="Tahoma" w:cs="Tahoma"/>
          <w:sz w:val="24"/>
          <w:szCs w:val="24"/>
        </w:rPr>
      </w:pPr>
      <w:r>
        <w:rPr>
          <w:rFonts w:hint="default" w:ascii="Tahoma" w:hAnsi="Tahoma" w:cs="Tahoma"/>
          <w:sz w:val="24"/>
          <w:szCs w:val="24"/>
        </w:rPr>
        <w:t xml:space="preserve">         </w:t>
      </w:r>
      <w:r>
        <w:rPr>
          <w:rFonts w:hint="default" w:ascii="Tahoma" w:hAnsi="Tahoma" w:cs="Tahoma"/>
          <w:sz w:val="24"/>
          <w:szCs w:val="24"/>
          <w:lang w:val="en-US"/>
        </w:rPr>
        <w:t>GHEORGHE CONSTANTIN</w:t>
      </w:r>
      <w:r>
        <w:rPr>
          <w:rFonts w:hint="default" w:ascii="Tahoma" w:hAnsi="Tahoma" w:cs="Tahoma"/>
          <w:sz w:val="24"/>
          <w:szCs w:val="24"/>
        </w:rPr>
        <w:t xml:space="preserve">                                                   Secretar general,</w:t>
      </w:r>
    </w:p>
    <w:p w14:paraId="54131853">
      <w:pPr>
        <w:spacing w:line="240" w:lineRule="auto"/>
        <w:ind w:firstLine="2388" w:firstLineChars="995"/>
        <w:rPr>
          <w:rFonts w:hint="default" w:ascii="Tahoma" w:hAnsi="Tahoma" w:eastAsia="Times New Roman" w:cs="Tahoma"/>
          <w:sz w:val="24"/>
          <w:szCs w:val="24"/>
          <w:lang w:val="ro-RO"/>
        </w:rPr>
      </w:pPr>
      <w:r>
        <w:rPr>
          <w:rFonts w:hint="default" w:ascii="Tahoma" w:hAnsi="Tahoma" w:cs="Tahoma"/>
          <w:sz w:val="24"/>
          <w:szCs w:val="24"/>
        </w:rPr>
        <w:t xml:space="preserve">                                                                  </w:t>
      </w:r>
      <w:r>
        <w:rPr>
          <w:rFonts w:hint="default" w:ascii="Tahoma" w:hAnsi="Tahoma" w:cs="Tahoma"/>
          <w:sz w:val="24"/>
          <w:szCs w:val="24"/>
          <w:lang w:val="en-US"/>
        </w:rPr>
        <w:t>Basturea Florin</w:t>
      </w:r>
    </w:p>
    <w:p w14:paraId="7B98F806">
      <w:pPr>
        <w:spacing w:after="0" w:line="240" w:lineRule="auto"/>
        <w:ind w:right="-567"/>
        <w:jc w:val="both"/>
        <w:rPr>
          <w:rFonts w:hint="default" w:ascii="Tahoma" w:hAnsi="Tahoma" w:eastAsia="Times New Roman" w:cs="Tahoma"/>
          <w:sz w:val="24"/>
          <w:szCs w:val="24"/>
          <w:lang w:val="ro-RO"/>
        </w:rPr>
      </w:pPr>
    </w:p>
    <w:p w14:paraId="400C22C0">
      <w:pPr>
        <w:pStyle w:val="20"/>
        <w:jc w:val="both"/>
        <w:rPr>
          <w:rFonts w:hint="default" w:ascii="Tahoma" w:hAnsi="Tahoma" w:cs="Tahoma"/>
          <w:b/>
          <w:sz w:val="24"/>
          <w:szCs w:val="24"/>
          <w:lang w:val="en-US"/>
        </w:rPr>
      </w:pPr>
      <w:r>
        <w:rPr>
          <w:rFonts w:hint="default" w:ascii="Tahoma" w:hAnsi="Tahoma" w:cs="Tahoma"/>
          <w:b/>
          <w:sz w:val="24"/>
          <w:szCs w:val="24"/>
        </w:rPr>
        <w:t xml:space="preserve"> NR. </w:t>
      </w:r>
      <w:r>
        <w:rPr>
          <w:rFonts w:hint="default" w:ascii="Tahoma" w:hAnsi="Tahoma" w:cs="Tahoma"/>
          <w:b/>
          <w:sz w:val="24"/>
          <w:szCs w:val="24"/>
          <w:lang w:val="en-US"/>
        </w:rPr>
        <w:t>28</w:t>
      </w:r>
    </w:p>
    <w:p w14:paraId="72D60C6F">
      <w:pPr>
        <w:pStyle w:val="20"/>
        <w:jc w:val="both"/>
        <w:rPr>
          <w:rFonts w:hint="default" w:ascii="Tahoma" w:hAnsi="Tahoma" w:cs="Tahoma"/>
          <w:b/>
          <w:sz w:val="24"/>
          <w:szCs w:val="24"/>
          <w:lang w:val="en-US"/>
        </w:rPr>
      </w:pPr>
      <w:r>
        <w:rPr>
          <w:rFonts w:hint="default" w:ascii="Tahoma" w:hAnsi="Tahoma" w:cs="Tahoma"/>
          <w:b/>
          <w:sz w:val="24"/>
          <w:szCs w:val="24"/>
          <w:lang w:val="en-US"/>
        </w:rPr>
        <w:t>Adoptata la Andrasesti</w:t>
      </w:r>
    </w:p>
    <w:p w14:paraId="30C852A1">
      <w:pPr>
        <w:pStyle w:val="20"/>
        <w:jc w:val="both"/>
        <w:rPr>
          <w:rFonts w:hint="default" w:ascii="Tahoma" w:hAnsi="Tahoma" w:eastAsia="Times New Roman" w:cs="Tahoma"/>
          <w:b/>
          <w:bCs/>
          <w:color w:val="000000"/>
          <w:sz w:val="24"/>
          <w:szCs w:val="24"/>
          <w:lang w:val="ro-RO" w:eastAsia="ro-RO" w:bidi="ro-RO"/>
        </w:rPr>
      </w:pPr>
      <w:r>
        <w:rPr>
          <w:rFonts w:hint="default" w:ascii="Tahoma" w:hAnsi="Tahoma" w:cs="Tahoma"/>
          <w:b/>
          <w:sz w:val="24"/>
          <w:szCs w:val="24"/>
          <w:lang w:val="en-US"/>
        </w:rPr>
        <w:t>Astazi 28</w:t>
      </w:r>
      <w:r>
        <w:rPr>
          <w:rFonts w:hint="default" w:ascii="Tahoma" w:hAnsi="Tahoma" w:cs="Tahoma"/>
          <w:b/>
          <w:sz w:val="24"/>
          <w:szCs w:val="24"/>
        </w:rPr>
        <w:t>.04.2026</w:t>
      </w:r>
      <w:bookmarkStart w:id="0" w:name="_GoBack"/>
      <w:bookmarkEnd w:id="0"/>
    </w:p>
    <w:sectPr>
      <w:pgSz w:w="11900" w:h="16838"/>
      <w:pgMar w:top="720" w:right="720" w:bottom="720" w:left="1296" w:header="708" w:footer="708" w:gutter="0"/>
      <w:cols w:equalWidth="0" w:num="1">
        <w:col w:w="909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Lucida Sans Unicode">
    <w:panose1 w:val="020B0602030504020204"/>
    <w:charset w:val="00"/>
    <w:family w:val="swiss"/>
    <w:pitch w:val="default"/>
    <w:sig w:usb0="80001AFF" w:usb1="0000396B" w:usb2="00000000" w:usb3="00000000" w:csb0="200000BF" w:csb1="D7F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B71558"/>
    <w:multiLevelType w:val="multilevel"/>
    <w:tmpl w:val="60B71558"/>
    <w:lvl w:ilvl="0" w:tentative="0">
      <w:start w:val="0"/>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1F"/>
    <w:rsid w:val="00024E2D"/>
    <w:rsid w:val="000371DB"/>
    <w:rsid w:val="000461BE"/>
    <w:rsid w:val="00065358"/>
    <w:rsid w:val="00076E7C"/>
    <w:rsid w:val="00080972"/>
    <w:rsid w:val="00094882"/>
    <w:rsid w:val="00096E61"/>
    <w:rsid w:val="000A552D"/>
    <w:rsid w:val="000A6DD1"/>
    <w:rsid w:val="000B699A"/>
    <w:rsid w:val="000B70C4"/>
    <w:rsid w:val="000C062D"/>
    <w:rsid w:val="000D0F69"/>
    <w:rsid w:val="000D5136"/>
    <w:rsid w:val="000E059E"/>
    <w:rsid w:val="000E4105"/>
    <w:rsid w:val="000E7BC2"/>
    <w:rsid w:val="000F417E"/>
    <w:rsid w:val="00111228"/>
    <w:rsid w:val="00113F85"/>
    <w:rsid w:val="00122554"/>
    <w:rsid w:val="001276A9"/>
    <w:rsid w:val="001408FF"/>
    <w:rsid w:val="00165FD6"/>
    <w:rsid w:val="00174588"/>
    <w:rsid w:val="00183389"/>
    <w:rsid w:val="00193D50"/>
    <w:rsid w:val="00195A6A"/>
    <w:rsid w:val="00197122"/>
    <w:rsid w:val="001A6963"/>
    <w:rsid w:val="001A706D"/>
    <w:rsid w:val="001B7BD4"/>
    <w:rsid w:val="001E0EDF"/>
    <w:rsid w:val="001E3B3A"/>
    <w:rsid w:val="001F5D8F"/>
    <w:rsid w:val="001F75FC"/>
    <w:rsid w:val="00201C75"/>
    <w:rsid w:val="0020264B"/>
    <w:rsid w:val="002178A6"/>
    <w:rsid w:val="00221D57"/>
    <w:rsid w:val="002243E0"/>
    <w:rsid w:val="00230C67"/>
    <w:rsid w:val="00232D7A"/>
    <w:rsid w:val="002365FD"/>
    <w:rsid w:val="0024574D"/>
    <w:rsid w:val="0025705D"/>
    <w:rsid w:val="00261025"/>
    <w:rsid w:val="00261BA3"/>
    <w:rsid w:val="0026207F"/>
    <w:rsid w:val="002706E1"/>
    <w:rsid w:val="002758EF"/>
    <w:rsid w:val="00276373"/>
    <w:rsid w:val="00280409"/>
    <w:rsid w:val="00282459"/>
    <w:rsid w:val="002A583C"/>
    <w:rsid w:val="002A6A45"/>
    <w:rsid w:val="002C06FD"/>
    <w:rsid w:val="002C5A6C"/>
    <w:rsid w:val="002D075F"/>
    <w:rsid w:val="002D0A74"/>
    <w:rsid w:val="002D7B30"/>
    <w:rsid w:val="002E59BB"/>
    <w:rsid w:val="002F1A31"/>
    <w:rsid w:val="002F28C0"/>
    <w:rsid w:val="002F74C9"/>
    <w:rsid w:val="00306009"/>
    <w:rsid w:val="00312D35"/>
    <w:rsid w:val="00315274"/>
    <w:rsid w:val="00327819"/>
    <w:rsid w:val="003366E8"/>
    <w:rsid w:val="00347719"/>
    <w:rsid w:val="00352EE3"/>
    <w:rsid w:val="003542F9"/>
    <w:rsid w:val="0035668D"/>
    <w:rsid w:val="0036000D"/>
    <w:rsid w:val="0036268C"/>
    <w:rsid w:val="00365698"/>
    <w:rsid w:val="00365708"/>
    <w:rsid w:val="0038558B"/>
    <w:rsid w:val="00387D69"/>
    <w:rsid w:val="003941EE"/>
    <w:rsid w:val="003A0B6D"/>
    <w:rsid w:val="003B1A4D"/>
    <w:rsid w:val="003C3B28"/>
    <w:rsid w:val="003C6622"/>
    <w:rsid w:val="003E3CF6"/>
    <w:rsid w:val="003F32DA"/>
    <w:rsid w:val="00400F8C"/>
    <w:rsid w:val="004025D1"/>
    <w:rsid w:val="00412C4F"/>
    <w:rsid w:val="0041786E"/>
    <w:rsid w:val="0042769A"/>
    <w:rsid w:val="00433242"/>
    <w:rsid w:val="00444D3B"/>
    <w:rsid w:val="00451912"/>
    <w:rsid w:val="00457C2E"/>
    <w:rsid w:val="00463009"/>
    <w:rsid w:val="004647D5"/>
    <w:rsid w:val="004C6449"/>
    <w:rsid w:val="004C6928"/>
    <w:rsid w:val="004D11EC"/>
    <w:rsid w:val="00502C1E"/>
    <w:rsid w:val="00507664"/>
    <w:rsid w:val="00510CFD"/>
    <w:rsid w:val="0051150E"/>
    <w:rsid w:val="00521E3B"/>
    <w:rsid w:val="00522925"/>
    <w:rsid w:val="005244F2"/>
    <w:rsid w:val="00533F04"/>
    <w:rsid w:val="00540A47"/>
    <w:rsid w:val="00541B56"/>
    <w:rsid w:val="00550B9D"/>
    <w:rsid w:val="0056613F"/>
    <w:rsid w:val="0057351D"/>
    <w:rsid w:val="00585348"/>
    <w:rsid w:val="005A0F8A"/>
    <w:rsid w:val="005A1503"/>
    <w:rsid w:val="005A5306"/>
    <w:rsid w:val="005A6428"/>
    <w:rsid w:val="005A74BD"/>
    <w:rsid w:val="005C1392"/>
    <w:rsid w:val="005C17C8"/>
    <w:rsid w:val="005D10C6"/>
    <w:rsid w:val="005D5483"/>
    <w:rsid w:val="005E123A"/>
    <w:rsid w:val="006018A6"/>
    <w:rsid w:val="00610244"/>
    <w:rsid w:val="00616F54"/>
    <w:rsid w:val="0062297D"/>
    <w:rsid w:val="00631127"/>
    <w:rsid w:val="00631CC8"/>
    <w:rsid w:val="006327D3"/>
    <w:rsid w:val="00646B77"/>
    <w:rsid w:val="0066285F"/>
    <w:rsid w:val="0066789E"/>
    <w:rsid w:val="006744F6"/>
    <w:rsid w:val="0067739E"/>
    <w:rsid w:val="00696209"/>
    <w:rsid w:val="006B35BC"/>
    <w:rsid w:val="006D77F1"/>
    <w:rsid w:val="006E06B5"/>
    <w:rsid w:val="006E25F9"/>
    <w:rsid w:val="006F7815"/>
    <w:rsid w:val="00700111"/>
    <w:rsid w:val="00701C71"/>
    <w:rsid w:val="007041E4"/>
    <w:rsid w:val="00706591"/>
    <w:rsid w:val="007129A2"/>
    <w:rsid w:val="007247B5"/>
    <w:rsid w:val="00732F60"/>
    <w:rsid w:val="007330E4"/>
    <w:rsid w:val="00735327"/>
    <w:rsid w:val="00743842"/>
    <w:rsid w:val="00744509"/>
    <w:rsid w:val="007454B4"/>
    <w:rsid w:val="007600C1"/>
    <w:rsid w:val="007715DC"/>
    <w:rsid w:val="00774A73"/>
    <w:rsid w:val="00787B5B"/>
    <w:rsid w:val="00787BB0"/>
    <w:rsid w:val="00790FAF"/>
    <w:rsid w:val="00792F3D"/>
    <w:rsid w:val="0079324F"/>
    <w:rsid w:val="00793F70"/>
    <w:rsid w:val="007A2F76"/>
    <w:rsid w:val="007A4EFB"/>
    <w:rsid w:val="007B0FB2"/>
    <w:rsid w:val="007B393B"/>
    <w:rsid w:val="007B689B"/>
    <w:rsid w:val="007F616F"/>
    <w:rsid w:val="0080364F"/>
    <w:rsid w:val="00804A00"/>
    <w:rsid w:val="008074F1"/>
    <w:rsid w:val="00822B43"/>
    <w:rsid w:val="00824829"/>
    <w:rsid w:val="00824DAA"/>
    <w:rsid w:val="00825D43"/>
    <w:rsid w:val="00833552"/>
    <w:rsid w:val="00835834"/>
    <w:rsid w:val="00855CB1"/>
    <w:rsid w:val="008578A8"/>
    <w:rsid w:val="00863C77"/>
    <w:rsid w:val="0087129B"/>
    <w:rsid w:val="008922C2"/>
    <w:rsid w:val="00896814"/>
    <w:rsid w:val="008A6FEB"/>
    <w:rsid w:val="008B20BC"/>
    <w:rsid w:val="008B7064"/>
    <w:rsid w:val="008E1711"/>
    <w:rsid w:val="008F045D"/>
    <w:rsid w:val="008F09BF"/>
    <w:rsid w:val="009040F9"/>
    <w:rsid w:val="00910056"/>
    <w:rsid w:val="009116D0"/>
    <w:rsid w:val="00916EBF"/>
    <w:rsid w:val="00924F11"/>
    <w:rsid w:val="009250CB"/>
    <w:rsid w:val="00925A80"/>
    <w:rsid w:val="00933557"/>
    <w:rsid w:val="00937C8A"/>
    <w:rsid w:val="00942C75"/>
    <w:rsid w:val="00943EB3"/>
    <w:rsid w:val="00951B37"/>
    <w:rsid w:val="00961803"/>
    <w:rsid w:val="009635CF"/>
    <w:rsid w:val="00963C80"/>
    <w:rsid w:val="00963E76"/>
    <w:rsid w:val="00967DA7"/>
    <w:rsid w:val="00970620"/>
    <w:rsid w:val="00983E33"/>
    <w:rsid w:val="009A1CED"/>
    <w:rsid w:val="009A5EA9"/>
    <w:rsid w:val="009B1070"/>
    <w:rsid w:val="009B6CB3"/>
    <w:rsid w:val="009B7EDF"/>
    <w:rsid w:val="009C0014"/>
    <w:rsid w:val="009C043B"/>
    <w:rsid w:val="009E0DEA"/>
    <w:rsid w:val="009E682B"/>
    <w:rsid w:val="009E694A"/>
    <w:rsid w:val="009F416B"/>
    <w:rsid w:val="00A3189E"/>
    <w:rsid w:val="00A42DE9"/>
    <w:rsid w:val="00A449B9"/>
    <w:rsid w:val="00A57624"/>
    <w:rsid w:val="00A64228"/>
    <w:rsid w:val="00A67B27"/>
    <w:rsid w:val="00A72B31"/>
    <w:rsid w:val="00A77446"/>
    <w:rsid w:val="00A8125F"/>
    <w:rsid w:val="00A863B8"/>
    <w:rsid w:val="00A87284"/>
    <w:rsid w:val="00A87B74"/>
    <w:rsid w:val="00AC6DA8"/>
    <w:rsid w:val="00AC72D6"/>
    <w:rsid w:val="00AC7E88"/>
    <w:rsid w:val="00AD4BC0"/>
    <w:rsid w:val="00AD76FD"/>
    <w:rsid w:val="00AE1024"/>
    <w:rsid w:val="00AF5B2D"/>
    <w:rsid w:val="00B00F47"/>
    <w:rsid w:val="00B10CE2"/>
    <w:rsid w:val="00B1557D"/>
    <w:rsid w:val="00B2071F"/>
    <w:rsid w:val="00B312AC"/>
    <w:rsid w:val="00B4450C"/>
    <w:rsid w:val="00B56B87"/>
    <w:rsid w:val="00B6034B"/>
    <w:rsid w:val="00B6097C"/>
    <w:rsid w:val="00B66B00"/>
    <w:rsid w:val="00B71DB1"/>
    <w:rsid w:val="00B726C0"/>
    <w:rsid w:val="00B852B3"/>
    <w:rsid w:val="00B85851"/>
    <w:rsid w:val="00BA483C"/>
    <w:rsid w:val="00BA5AC3"/>
    <w:rsid w:val="00BB6B77"/>
    <w:rsid w:val="00BC7C5E"/>
    <w:rsid w:val="00BD0D88"/>
    <w:rsid w:val="00BE5F3E"/>
    <w:rsid w:val="00BE7841"/>
    <w:rsid w:val="00BF3BDC"/>
    <w:rsid w:val="00C024BF"/>
    <w:rsid w:val="00C1234D"/>
    <w:rsid w:val="00C211FF"/>
    <w:rsid w:val="00C326BD"/>
    <w:rsid w:val="00C456A9"/>
    <w:rsid w:val="00C458AA"/>
    <w:rsid w:val="00C5373F"/>
    <w:rsid w:val="00C55A94"/>
    <w:rsid w:val="00C573BC"/>
    <w:rsid w:val="00C602CC"/>
    <w:rsid w:val="00C60C7F"/>
    <w:rsid w:val="00C8075B"/>
    <w:rsid w:val="00C93552"/>
    <w:rsid w:val="00C9492A"/>
    <w:rsid w:val="00CA2576"/>
    <w:rsid w:val="00CA4489"/>
    <w:rsid w:val="00CB0624"/>
    <w:rsid w:val="00CC14BA"/>
    <w:rsid w:val="00CC447B"/>
    <w:rsid w:val="00CD16ED"/>
    <w:rsid w:val="00CD2EFE"/>
    <w:rsid w:val="00CD4312"/>
    <w:rsid w:val="00CE0403"/>
    <w:rsid w:val="00CE39A4"/>
    <w:rsid w:val="00CE430C"/>
    <w:rsid w:val="00CE4A51"/>
    <w:rsid w:val="00CF1A01"/>
    <w:rsid w:val="00CF5543"/>
    <w:rsid w:val="00CF57FB"/>
    <w:rsid w:val="00D001BA"/>
    <w:rsid w:val="00D06584"/>
    <w:rsid w:val="00D1359E"/>
    <w:rsid w:val="00D1618C"/>
    <w:rsid w:val="00D173DA"/>
    <w:rsid w:val="00D17AFF"/>
    <w:rsid w:val="00D41BC2"/>
    <w:rsid w:val="00D5300A"/>
    <w:rsid w:val="00D57609"/>
    <w:rsid w:val="00D60FBC"/>
    <w:rsid w:val="00D64E44"/>
    <w:rsid w:val="00D66FAB"/>
    <w:rsid w:val="00D713C4"/>
    <w:rsid w:val="00D872EC"/>
    <w:rsid w:val="00D87C97"/>
    <w:rsid w:val="00D9073B"/>
    <w:rsid w:val="00D92B1F"/>
    <w:rsid w:val="00D97DAD"/>
    <w:rsid w:val="00DA262A"/>
    <w:rsid w:val="00DB1FB3"/>
    <w:rsid w:val="00DB48F2"/>
    <w:rsid w:val="00DB4A0E"/>
    <w:rsid w:val="00DD5D46"/>
    <w:rsid w:val="00DD6D51"/>
    <w:rsid w:val="00DE1E2F"/>
    <w:rsid w:val="00DF4B3A"/>
    <w:rsid w:val="00E254BD"/>
    <w:rsid w:val="00E34654"/>
    <w:rsid w:val="00E433A9"/>
    <w:rsid w:val="00E448B7"/>
    <w:rsid w:val="00E46277"/>
    <w:rsid w:val="00E46B22"/>
    <w:rsid w:val="00E62433"/>
    <w:rsid w:val="00E70302"/>
    <w:rsid w:val="00E83B3B"/>
    <w:rsid w:val="00E87A71"/>
    <w:rsid w:val="00EA7BC2"/>
    <w:rsid w:val="00EB2AE2"/>
    <w:rsid w:val="00EB7C0A"/>
    <w:rsid w:val="00EF06FC"/>
    <w:rsid w:val="00EF7533"/>
    <w:rsid w:val="00F01A8F"/>
    <w:rsid w:val="00F033DF"/>
    <w:rsid w:val="00F11520"/>
    <w:rsid w:val="00F5455B"/>
    <w:rsid w:val="00F66CCD"/>
    <w:rsid w:val="00F67DE3"/>
    <w:rsid w:val="00F700F9"/>
    <w:rsid w:val="00F70A24"/>
    <w:rsid w:val="00F71B16"/>
    <w:rsid w:val="00F73038"/>
    <w:rsid w:val="00F77D6B"/>
    <w:rsid w:val="00F77EDC"/>
    <w:rsid w:val="00F83107"/>
    <w:rsid w:val="00F83167"/>
    <w:rsid w:val="00F86B32"/>
    <w:rsid w:val="00F942F7"/>
    <w:rsid w:val="00F9661B"/>
    <w:rsid w:val="00FA33C2"/>
    <w:rsid w:val="00FA35AD"/>
    <w:rsid w:val="00FB340F"/>
    <w:rsid w:val="00FB7160"/>
    <w:rsid w:val="00FD14D8"/>
    <w:rsid w:val="00FD5D47"/>
    <w:rsid w:val="00FD7999"/>
    <w:rsid w:val="00FE233C"/>
    <w:rsid w:val="00FE740F"/>
    <w:rsid w:val="00FE7924"/>
    <w:rsid w:val="00FF3E57"/>
    <w:rsid w:val="03673E80"/>
    <w:rsid w:val="1E1935BC"/>
    <w:rsid w:val="271E7548"/>
    <w:rsid w:val="2761394B"/>
    <w:rsid w:val="2A284460"/>
    <w:rsid w:val="34284480"/>
    <w:rsid w:val="3C6B24C6"/>
    <w:rsid w:val="3F52683D"/>
    <w:rsid w:val="4405732B"/>
    <w:rsid w:val="4F991438"/>
    <w:rsid w:val="6FA073B8"/>
    <w:rsid w:val="7A2605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3"/>
    <w:qFormat/>
    <w:uiPriority w:val="9"/>
    <w:pPr>
      <w:keepNext/>
      <w:keepLines/>
      <w:spacing w:before="480" w:after="0"/>
      <w:outlineLvl w:val="0"/>
    </w:pPr>
    <w:rPr>
      <w:rFonts w:ascii="Calibri Light" w:hAnsi="Calibri Light" w:eastAsia="Times New Roman" w:cs="Times New Roman"/>
      <w:b/>
      <w:bCs/>
      <w:color w:val="2E74B5"/>
      <w:sz w:val="28"/>
      <w:szCs w:val="24"/>
    </w:rPr>
  </w:style>
  <w:style w:type="paragraph" w:styleId="3">
    <w:name w:val="heading 3"/>
    <w:basedOn w:val="1"/>
    <w:next w:val="1"/>
    <w:link w:val="37"/>
    <w:semiHidden/>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8"/>
    <w:semiHidden/>
    <w:unhideWhenUsed/>
    <w:qFormat/>
    <w:uiPriority w:val="99"/>
    <w:pPr>
      <w:spacing w:after="0" w:line="240" w:lineRule="auto"/>
    </w:pPr>
    <w:rPr>
      <w:rFonts w:ascii="Tahoma" w:hAnsi="Tahoma" w:eastAsia="Calibri" w:cs="Tahoma"/>
      <w:sz w:val="16"/>
      <w:szCs w:val="16"/>
    </w:rPr>
  </w:style>
  <w:style w:type="paragraph" w:styleId="7">
    <w:name w:val="footer"/>
    <w:basedOn w:val="1"/>
    <w:link w:val="15"/>
    <w:unhideWhenUsed/>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paragraph" w:styleId="8">
    <w:name w:val="footnote text"/>
    <w:basedOn w:val="1"/>
    <w:link w:val="39"/>
    <w:qFormat/>
    <w:uiPriority w:val="0"/>
    <w:pPr>
      <w:spacing w:after="0" w:line="240" w:lineRule="auto"/>
    </w:pPr>
    <w:rPr>
      <w:rFonts w:ascii="Times New Roman" w:hAnsi="Times New Roman" w:eastAsia="Times New Roman" w:cs="Times New Roman"/>
      <w:sz w:val="20"/>
      <w:szCs w:val="20"/>
      <w:lang w:val="ro-RO"/>
    </w:rPr>
  </w:style>
  <w:style w:type="paragraph" w:styleId="9">
    <w:name w:val="header"/>
    <w:basedOn w:val="1"/>
    <w:link w:val="14"/>
    <w:unhideWhenUsed/>
    <w:qFormat/>
    <w:uiPriority w:val="0"/>
    <w:pPr>
      <w:tabs>
        <w:tab w:val="center" w:pos="4536"/>
        <w:tab w:val="right" w:pos="9072"/>
      </w:tabs>
      <w:spacing w:after="0" w:line="240" w:lineRule="auto"/>
    </w:pPr>
    <w:rPr>
      <w:rFonts w:ascii="Times New Roman" w:hAnsi="Times New Roman" w:eastAsia="Times New Roman" w:cs="Times New Roman"/>
      <w:sz w:val="24"/>
      <w:szCs w:val="24"/>
    </w:rPr>
  </w:style>
  <w:style w:type="character" w:styleId="10">
    <w:name w:val="Hyperlink"/>
    <w:basedOn w:val="4"/>
    <w:unhideWhenUsed/>
    <w:qFormat/>
    <w:uiPriority w:val="99"/>
    <w:rPr>
      <w:color w:val="0000FF"/>
      <w:u w:val="single"/>
    </w:rPr>
  </w:style>
  <w:style w:type="table" w:styleId="11">
    <w:name w:val="Table Grid"/>
    <w:basedOn w:val="5"/>
    <w:qFormat/>
    <w:uiPriority w:val="0"/>
    <w:pPr>
      <w:spacing w:after="0" w:line="240" w:lineRule="auto"/>
    </w:pPr>
    <w:rPr>
      <w:rFonts w:ascii="Times New Roman" w:hAnsi="Times New Roman" w:eastAsia="Times New Roman" w:cs="Times New Roman"/>
      <w:sz w:val="20"/>
      <w:szCs w:val="20"/>
      <w:lang w:val="ro-RO" w:eastAsia="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Title"/>
    <w:basedOn w:val="1"/>
    <w:link w:val="17"/>
    <w:qFormat/>
    <w:uiPriority w:val="0"/>
    <w:pPr>
      <w:spacing w:after="0" w:line="240" w:lineRule="auto"/>
      <w:jc w:val="center"/>
    </w:pPr>
    <w:rPr>
      <w:rFonts w:ascii="Times New Roman" w:hAnsi="Times New Roman" w:eastAsia="Calibri" w:cs="Times New Roman"/>
      <w:sz w:val="24"/>
      <w:szCs w:val="24"/>
      <w:lang w:val="ro-RO" w:eastAsia="ro-RO"/>
    </w:rPr>
  </w:style>
  <w:style w:type="character" w:customStyle="1" w:styleId="13">
    <w:name w:val="Heading 1 Char"/>
    <w:basedOn w:val="4"/>
    <w:link w:val="2"/>
    <w:qFormat/>
    <w:uiPriority w:val="9"/>
    <w:rPr>
      <w:rFonts w:ascii="Calibri Light" w:hAnsi="Calibri Light" w:eastAsia="Times New Roman" w:cs="Times New Roman"/>
      <w:b/>
      <w:bCs/>
      <w:color w:val="2E74B5"/>
      <w:sz w:val="28"/>
      <w:szCs w:val="24"/>
    </w:rPr>
  </w:style>
  <w:style w:type="character" w:customStyle="1" w:styleId="14">
    <w:name w:val="Header Char"/>
    <w:basedOn w:val="4"/>
    <w:link w:val="9"/>
    <w:qFormat/>
    <w:uiPriority w:val="0"/>
    <w:rPr>
      <w:rFonts w:ascii="Times New Roman" w:hAnsi="Times New Roman" w:eastAsia="Times New Roman" w:cs="Times New Roman"/>
      <w:sz w:val="24"/>
      <w:szCs w:val="24"/>
    </w:rPr>
  </w:style>
  <w:style w:type="character" w:customStyle="1" w:styleId="15">
    <w:name w:val="Footer Char"/>
    <w:basedOn w:val="4"/>
    <w:link w:val="7"/>
    <w:qFormat/>
    <w:uiPriority w:val="99"/>
    <w:rPr>
      <w:rFonts w:ascii="Times New Roman" w:hAnsi="Times New Roman" w:eastAsia="Times New Roman" w:cs="Times New Roman"/>
      <w:sz w:val="24"/>
      <w:szCs w:val="24"/>
    </w:rPr>
  </w:style>
  <w:style w:type="character" w:customStyle="1" w:styleId="16">
    <w:name w:val="Footer Char1"/>
    <w:basedOn w:val="4"/>
    <w:semiHidden/>
    <w:qFormat/>
    <w:uiPriority w:val="99"/>
  </w:style>
  <w:style w:type="character" w:customStyle="1" w:styleId="17">
    <w:name w:val="Title Char"/>
    <w:basedOn w:val="4"/>
    <w:link w:val="12"/>
    <w:qFormat/>
    <w:uiPriority w:val="0"/>
    <w:rPr>
      <w:rFonts w:ascii="Times New Roman" w:hAnsi="Times New Roman" w:eastAsia="Calibri" w:cs="Times New Roman"/>
      <w:sz w:val="24"/>
      <w:szCs w:val="24"/>
      <w:lang w:val="ro-RO" w:eastAsia="ro-RO"/>
    </w:rPr>
  </w:style>
  <w:style w:type="character" w:customStyle="1" w:styleId="18">
    <w:name w:val="Balloon Text Char"/>
    <w:basedOn w:val="4"/>
    <w:link w:val="6"/>
    <w:semiHidden/>
    <w:qFormat/>
    <w:uiPriority w:val="99"/>
    <w:rPr>
      <w:rFonts w:ascii="Tahoma" w:hAnsi="Tahoma" w:eastAsia="Calibri" w:cs="Tahoma"/>
      <w:sz w:val="16"/>
      <w:szCs w:val="16"/>
    </w:rPr>
  </w:style>
  <w:style w:type="character" w:customStyle="1" w:styleId="19">
    <w:name w:val="Balloon Text Char1"/>
    <w:basedOn w:val="4"/>
    <w:semiHidden/>
    <w:qFormat/>
    <w:uiPriority w:val="99"/>
    <w:rPr>
      <w:rFonts w:ascii="Tahoma" w:hAnsi="Tahoma" w:cs="Tahoma"/>
      <w:sz w:val="16"/>
      <w:szCs w:val="16"/>
    </w:rPr>
  </w:style>
  <w:style w:type="paragraph" w:styleId="20">
    <w:name w:val="No Spacing"/>
    <w:qFormat/>
    <w:uiPriority w:val="1"/>
    <w:pPr>
      <w:spacing w:after="0" w:line="240" w:lineRule="auto"/>
    </w:pPr>
    <w:rPr>
      <w:rFonts w:ascii="Calibri" w:hAnsi="Calibri" w:eastAsia="Calibri" w:cs="Times New Roman"/>
      <w:sz w:val="22"/>
      <w:szCs w:val="22"/>
      <w:lang w:val="en-US" w:eastAsia="en-US" w:bidi="ar-SA"/>
    </w:rPr>
  </w:style>
  <w:style w:type="paragraph" w:styleId="21">
    <w:name w:val="List Paragraph"/>
    <w:basedOn w:val="1"/>
    <w:qFormat/>
    <w:uiPriority w:val="34"/>
    <w:pPr>
      <w:ind w:left="720"/>
      <w:contextualSpacing/>
    </w:pPr>
    <w:rPr>
      <w:rFonts w:ascii="Calibri" w:hAnsi="Calibri" w:eastAsia="Calibri" w:cs="Times New Roman"/>
    </w:rPr>
  </w:style>
  <w:style w:type="paragraph" w:customStyle="1" w:styleId="22">
    <w:name w:val="Heading 11"/>
    <w:basedOn w:val="1"/>
    <w:next w:val="1"/>
    <w:qFormat/>
    <w:uiPriority w:val="9"/>
    <w:pPr>
      <w:keepNext/>
      <w:keepLines/>
      <w:spacing w:before="480" w:after="0" w:line="240" w:lineRule="auto"/>
      <w:outlineLvl w:val="0"/>
    </w:pPr>
    <w:rPr>
      <w:rFonts w:ascii="Calibri Light" w:hAnsi="Calibri Light" w:eastAsia="Times New Roman" w:cs="Times New Roman"/>
      <w:b/>
      <w:bCs/>
      <w:color w:val="2E74B5"/>
      <w:sz w:val="28"/>
      <w:szCs w:val="24"/>
    </w:rPr>
  </w:style>
  <w:style w:type="paragraph" w:customStyle="1" w:styleId="23">
    <w:name w:val="Standard"/>
    <w:qFormat/>
    <w:uiPriority w:val="0"/>
    <w:pPr>
      <w:widowControl w:val="0"/>
      <w:suppressAutoHyphens/>
      <w:autoSpaceDN w:val="0"/>
      <w:spacing w:after="0" w:line="240" w:lineRule="auto"/>
    </w:pPr>
    <w:rPr>
      <w:rFonts w:ascii="Times New Roman" w:hAnsi="Times New Roman" w:eastAsia="Lucida Sans Unicode" w:cs="Tahoma"/>
      <w:kern w:val="3"/>
      <w:sz w:val="24"/>
      <w:szCs w:val="24"/>
      <w:lang w:val="ro-RO" w:eastAsia="ro-RO" w:bidi="ar-SA"/>
    </w:rPr>
  </w:style>
  <w:style w:type="paragraph" w:customStyle="1" w:styleId="24">
    <w:name w:val="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val="ro-RO" w:eastAsia="ro-RO"/>
    </w:rPr>
  </w:style>
  <w:style w:type="character" w:customStyle="1" w:styleId="25">
    <w:name w:val="do"/>
    <w:basedOn w:val="4"/>
    <w:qFormat/>
    <w:uiPriority w:val="0"/>
  </w:style>
  <w:style w:type="character" w:customStyle="1" w:styleId="26">
    <w:name w:val="Heading 1 Char1"/>
    <w:basedOn w:val="4"/>
    <w:qFormat/>
    <w:uiPriority w:val="9"/>
    <w:rPr>
      <w:rFonts w:hint="default" w:ascii="Cambria" w:hAnsi="Cambria" w:eastAsia="Times New Roman" w:cs="Times New Roman"/>
      <w:b/>
      <w:bCs/>
      <w:color w:val="376092" w:themeColor="accent1" w:themeShade="BF"/>
      <w:sz w:val="28"/>
      <w:szCs w:val="28"/>
    </w:rPr>
  </w:style>
  <w:style w:type="character" w:customStyle="1" w:styleId="27">
    <w:name w:val="s_den"/>
    <w:basedOn w:val="4"/>
    <w:qFormat/>
    <w:uiPriority w:val="0"/>
  </w:style>
  <w:style w:type="character" w:customStyle="1" w:styleId="28">
    <w:name w:val="s_hdr"/>
    <w:basedOn w:val="4"/>
    <w:qFormat/>
    <w:uiPriority w:val="0"/>
  </w:style>
  <w:style w:type="character" w:customStyle="1" w:styleId="29">
    <w:name w:val="Header Char1"/>
    <w:basedOn w:val="4"/>
    <w:semiHidden/>
    <w:qFormat/>
    <w:uiPriority w:val="99"/>
  </w:style>
  <w:style w:type="table" w:customStyle="1" w:styleId="30">
    <w:name w:val="Table Grid1"/>
    <w:basedOn w:val="5"/>
    <w:qFormat/>
    <w:uiPriority w:val="39"/>
    <w:pPr>
      <w:spacing w:after="0" w:line="240" w:lineRule="auto"/>
    </w:pPr>
    <w:rPr>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
    <w:name w:val="Table Grid2"/>
    <w:basedOn w:val="5"/>
    <w:qFormat/>
    <w:uiPriority w:val="39"/>
    <w:pPr>
      <w:spacing w:after="0" w:line="240" w:lineRule="auto"/>
    </w:pPr>
    <w:rPr>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
    <w:name w:val="Table Grid3"/>
    <w:basedOn w:val="5"/>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3">
    <w:name w:val="Table Grid4"/>
    <w:basedOn w:val="5"/>
    <w:qFormat/>
    <w:uiPriority w:val="0"/>
    <w:pPr>
      <w:spacing w:after="0" w:line="240" w:lineRule="auto"/>
    </w:pPr>
    <w:rPr>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
    <w:name w:val="Table Grid5"/>
    <w:basedOn w:val="5"/>
    <w:qFormat/>
    <w:uiPriority w:val="39"/>
    <w:pPr>
      <w:spacing w:after="0" w:line="240" w:lineRule="auto"/>
    </w:pPr>
    <w:rPr>
      <w:lang w:val="ro-R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Table Grid6"/>
    <w:basedOn w:val="5"/>
    <w:qFormat/>
    <w:uiPriority w:val="59"/>
    <w:pPr>
      <w:spacing w:after="0" w:line="240" w:lineRule="auto"/>
    </w:pPr>
    <w:rPr>
      <w:lang w:val="ro-RO"/>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36">
    <w:name w:val="Table Grid7"/>
    <w:basedOn w:val="5"/>
    <w:qFormat/>
    <w:uiPriority w:val="59"/>
    <w:pPr>
      <w:spacing w:after="0" w:line="240" w:lineRule="auto"/>
    </w:pPr>
    <w:rPr>
      <w:lang w:val="ro-RO"/>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7">
    <w:name w:val="Heading 3 Char"/>
    <w:basedOn w:val="4"/>
    <w:link w:val="3"/>
    <w:semiHidden/>
    <w:qFormat/>
    <w:uiPriority w:val="9"/>
    <w:rPr>
      <w:rFonts w:asciiTheme="majorHAnsi" w:hAnsiTheme="majorHAnsi" w:eastAsiaTheme="majorEastAsia" w:cstheme="majorBidi"/>
      <w:color w:val="254061" w:themeColor="accent1" w:themeShade="80"/>
      <w:sz w:val="24"/>
      <w:szCs w:val="24"/>
    </w:rPr>
  </w:style>
  <w:style w:type="paragraph" w:customStyle="1" w:styleId="38">
    <w:name w:val="Table Paragraph"/>
    <w:basedOn w:val="1"/>
    <w:qFormat/>
    <w:uiPriority w:val="1"/>
    <w:pPr>
      <w:widowControl w:val="0"/>
      <w:autoSpaceDE w:val="0"/>
      <w:autoSpaceDN w:val="0"/>
      <w:spacing w:after="0" w:line="240" w:lineRule="auto"/>
    </w:pPr>
    <w:rPr>
      <w:rFonts w:ascii="Times New Roman" w:hAnsi="Times New Roman" w:eastAsia="Times New Roman" w:cs="Times New Roman"/>
      <w:lang w:val="ro-RO"/>
    </w:rPr>
  </w:style>
  <w:style w:type="character" w:customStyle="1" w:styleId="39">
    <w:name w:val="Footnote Text Char"/>
    <w:basedOn w:val="4"/>
    <w:link w:val="8"/>
    <w:qFormat/>
    <w:uiPriority w:val="0"/>
    <w:rPr>
      <w:rFonts w:ascii="Times New Roman" w:hAnsi="Times New Roman" w:eastAsia="Times New Roman" w:cs="Times New Roman"/>
      <w:sz w:val="20"/>
      <w:szCs w:val="20"/>
      <w:lang w:val="ro-RO"/>
    </w:rPr>
  </w:style>
  <w:style w:type="paragraph" w:customStyle="1" w:styleId="40">
    <w:name w:val="Normal3"/>
    <w:qFormat/>
    <w:uiPriority w:val="0"/>
    <w:pPr>
      <w:spacing w:after="200" w:line="276" w:lineRule="auto"/>
    </w:pPr>
    <w:rPr>
      <w:rFonts w:ascii="Calibri" w:hAnsi="Calibri" w:eastAsia="Calibri" w:cs="Calibri"/>
      <w:sz w:val="22"/>
      <w:szCs w:val="22"/>
      <w:lang w:val="en-US" w:eastAsia="ro-RO"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B020D-9984-4416-BAF2-84A9EC75A8AA}">
  <ds:schemaRefs/>
</ds:datastoreItem>
</file>

<file path=docProps/app.xml><?xml version="1.0" encoding="utf-8"?>
<Properties xmlns="http://schemas.openxmlformats.org/officeDocument/2006/extended-properties" xmlns:vt="http://schemas.openxmlformats.org/officeDocument/2006/docPropsVTypes">
  <Template>Normal</Template>
  <Pages>1</Pages>
  <Words>3510</Words>
  <Characters>21608</Characters>
  <Lines>1588</Lines>
  <Paragraphs>447</Paragraphs>
  <TotalTime>15</TotalTime>
  <ScaleCrop>false</ScaleCrop>
  <LinksUpToDate>false</LinksUpToDate>
  <CharactersWithSpaces>25175</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2026-04-02T06:13:00Z</dcterms:created>
  <dc:creator>Diana</dc:creator>
  <cp:lastModifiedBy>Primaria Andrasesti</cp:lastModifiedBy>
  <cp:lastPrinted>2026-05-11T09:06:41Z</cp:lastPrinted>
  <dcterms:modified xsi:type="dcterms:W3CDTF">2026-05-11T09:18:05Z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42694E5113D9497FB31357DD2B189BE1_13</vt:lpwstr>
  </property>
  <property fmtid="{D5CDD505-2E9C-101B-9397-08002B2CF9AE}" pid="4" name="KSOTemplateDocerSaveRecord">
    <vt:lpwstr>eyJoZGlkIjoiYzZkNzQ4ZWFiZmQ4NTRhOWRkZTk3YTMwMjlmMmZhYmUiLCJ1c2VySWQiOiI1NTE1MjI3OTMwMzc4In0=</vt:lpwstr>
  </property>
</Properties>
</file>